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_GB2312" w:cs="仿宋_GB2312"/>
          <w:sz w:val="32"/>
          <w:szCs w:val="32"/>
        </w:rPr>
      </w:pPr>
    </w:p>
    <w:p>
      <w:pPr>
        <w:pStyle w:val="11"/>
        <w:rPr>
          <w:rFonts w:hint="eastAsia" w:ascii="Times New Roman" w:hAnsi="Times New Roman" w:eastAsia="仿宋_GB2312" w:cs="仿宋_GB2312"/>
          <w:sz w:val="32"/>
          <w:szCs w:val="32"/>
        </w:rPr>
      </w:pPr>
    </w:p>
    <w:p>
      <w:pPr>
        <w:pStyle w:val="10"/>
        <w:rPr>
          <w:rFonts w:hint="eastAsia"/>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卢政办〔20</w:t>
      </w:r>
      <w:r>
        <w:rPr>
          <w:rFonts w:hint="eastAsia" w:ascii="Times New Roman" w:hAnsi="Times New Roman" w:eastAsia="仿宋_GB2312" w:cs="仿宋_GB2312"/>
          <w:sz w:val="32"/>
          <w:szCs w:val="32"/>
          <w:lang w:val="en-US" w:eastAsia="zh-CN"/>
        </w:rPr>
        <w:t>21</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44</w:t>
      </w:r>
      <w:r>
        <w:rPr>
          <w:rFonts w:hint="eastAsia" w:ascii="Times New Roman" w:hAnsi="Times New Roman" w:eastAsia="仿宋_GB2312" w:cs="仿宋_GB2312"/>
          <w:sz w:val="32"/>
          <w:szCs w:val="32"/>
        </w:rPr>
        <w:t>号</w:t>
      </w:r>
    </w:p>
    <w:p>
      <w:pPr>
        <w:pStyle w:val="2"/>
        <w:rPr>
          <w:rFonts w:hint="eastAsia" w:ascii="Times New Roman" w:hAnsi="Times New Roman" w:eastAsia="仿宋_GB2312" w:cs="仿宋_GB2312"/>
          <w:sz w:val="32"/>
          <w:szCs w:val="32"/>
        </w:rPr>
      </w:pPr>
      <w:bookmarkStart w:id="0" w:name="_GoBack"/>
      <w:bookmarkEnd w:id="0"/>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aps w:val="0"/>
          <w:sz w:val="44"/>
          <w:szCs w:val="44"/>
        </w:rPr>
      </w:pPr>
      <w:r>
        <w:rPr>
          <w:rFonts w:hint="eastAsia" w:ascii="方正小标宋简体" w:hAnsi="方正小标宋简体" w:eastAsia="方正小标宋简体" w:cs="方正小标宋简体"/>
          <w:b w:val="0"/>
          <w:bCs w:val="0"/>
          <w:caps w:val="0"/>
          <w:sz w:val="44"/>
          <w:szCs w:val="44"/>
        </w:rPr>
        <w:t>卢氏县人民政府办公室</w:t>
      </w:r>
    </w:p>
    <w:p>
      <w:pPr>
        <w:keepNext w:val="0"/>
        <w:keepLines w:val="0"/>
        <w:pageBreakBefore w:val="0"/>
        <w:widowControl w:val="0"/>
        <w:kinsoku w:val="0"/>
        <w:wordWrap/>
        <w:overflowPunct w:val="0"/>
        <w:topLinePunct w:val="0"/>
        <w:autoSpaceDE w:val="0"/>
        <w:autoSpaceDN w:val="0"/>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关于印发卢氏县城市基础设施配套费</w:t>
      </w:r>
    </w:p>
    <w:p>
      <w:pPr>
        <w:keepNext w:val="0"/>
        <w:keepLines w:val="0"/>
        <w:pageBreakBefore w:val="0"/>
        <w:widowControl w:val="0"/>
        <w:kinsoku w:val="0"/>
        <w:wordWrap/>
        <w:overflowPunct w:val="0"/>
        <w:topLinePunct w:val="0"/>
        <w:autoSpaceDE w:val="0"/>
        <w:autoSpaceDN w:val="0"/>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征收管理办法的通知</w:t>
      </w:r>
    </w:p>
    <w:p>
      <w:pPr>
        <w:keepNext w:val="0"/>
        <w:keepLines w:val="0"/>
        <w:pageBreakBefore w:val="0"/>
        <w:widowControl w:val="0"/>
        <w:kinsoku w:val="0"/>
        <w:wordWrap/>
        <w:overflowPunct w:val="0"/>
        <w:topLinePunct w:val="0"/>
        <w:autoSpaceDE w:val="0"/>
        <w:autoSpaceDN w:val="0"/>
        <w:bidi w:val="0"/>
        <w:adjustRightInd/>
        <w:snapToGrid/>
        <w:spacing w:line="600" w:lineRule="exact"/>
        <w:ind w:left="0" w:leftChars="0" w:right="0" w:rightChars="0"/>
        <w:jc w:val="both"/>
        <w:textAlignment w:val="auto"/>
        <w:outlineLvl w:val="9"/>
        <w:rPr>
          <w:rFonts w:hint="eastAsia" w:ascii="仿宋" w:hAnsi="仿宋" w:eastAsia="仿宋" w:cs="仿宋"/>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县人民政府有关部门：</w:t>
      </w:r>
    </w:p>
    <w:p>
      <w:pPr>
        <w:keepNext w:val="0"/>
        <w:keepLines w:val="0"/>
        <w:pageBreakBefore w:val="0"/>
        <w:widowControl w:val="0"/>
        <w:kinsoku w:val="0"/>
        <w:wordWrap/>
        <w:overflowPunct w:val="0"/>
        <w:topLinePunct w:val="0"/>
        <w:autoSpaceDE w:val="0"/>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《卢氏县城市基础设施配套费征收管理办法》已经县政府研究</w:t>
      </w:r>
      <w:r>
        <w:rPr>
          <w:rFonts w:hint="eastAsia" w:ascii="仿宋_GB2312" w:hAnsi="仿宋_GB2312" w:eastAsia="仿宋_GB2312" w:cs="仿宋_GB2312"/>
          <w:sz w:val="32"/>
          <w:szCs w:val="32"/>
          <w:lang w:val="en-US" w:eastAsia="zh-CN"/>
        </w:rPr>
        <w:t>同意</w:t>
      </w:r>
      <w:r>
        <w:rPr>
          <w:rFonts w:hint="eastAsia" w:ascii="仿宋_GB2312" w:hAnsi="仿宋_GB2312" w:eastAsia="仿宋_GB2312" w:cs="仿宋_GB2312"/>
          <w:sz w:val="32"/>
          <w:szCs w:val="32"/>
        </w:rPr>
        <w:t>，现印发给你们，请认真贯彻落实。</w:t>
      </w:r>
    </w:p>
    <w:p>
      <w:pPr>
        <w:keepNext w:val="0"/>
        <w:keepLines w:val="0"/>
        <w:pageBreakBefore w:val="0"/>
        <w:widowControl w:val="0"/>
        <w:kinsoku w:val="0"/>
        <w:wordWrap/>
        <w:overflowPunct w:val="0"/>
        <w:topLinePunct w:val="0"/>
        <w:autoSpaceDE w:val="0"/>
        <w:autoSpaceDN w:val="0"/>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val="0"/>
        <w:wordWrap/>
        <w:overflowPunct w:val="0"/>
        <w:topLinePunct w:val="0"/>
        <w:autoSpaceDE w:val="0"/>
        <w:autoSpaceDN w:val="0"/>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600" w:lineRule="exact"/>
        <w:ind w:left="0" w:leftChars="0" w:right="23" w:rightChars="11" w:firstLine="5459" w:firstLineChars="170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right="0" w:firstLine="0" w:firstLineChars="0"/>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卢氏县城市基础设施配套费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right="0" w:firstLine="0" w:firstLineChars="0"/>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征收管理办法</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right="0" w:firstLine="0" w:firstLineChars="0"/>
        <w:jc w:val="left"/>
        <w:textAlignment w:val="auto"/>
        <w:rPr>
          <w:rFonts w:hint="default" w:ascii="Times New Roman" w:hAnsi="Times New Roman" w:eastAsia="仿宋" w:cs="Times New Roman"/>
          <w:kern w:val="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第一条</w:t>
      </w:r>
      <w:r>
        <w:rPr>
          <w:rFonts w:hint="default" w:ascii="Times New Roman" w:hAnsi="Times New Roman" w:eastAsia="仿宋"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为规范城市基础设施配套费（以下简称城市配套费）的征收、使用和管理，促进城市基础设施建设，根据国家、省、市有关文件精神，结合实际，制定本办法。</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 xml:space="preserve">第二条  </w:t>
      </w:r>
      <w:r>
        <w:rPr>
          <w:rFonts w:hint="default" w:ascii="Times New Roman" w:hAnsi="Times New Roman" w:eastAsia="仿宋_GB2312" w:cs="Times New Roman"/>
          <w:kern w:val="2"/>
          <w:sz w:val="32"/>
          <w:szCs w:val="32"/>
          <w:lang w:val="en-US" w:eastAsia="zh-CN" w:bidi="ar-SA"/>
        </w:rPr>
        <w:t>城市配套费是指按城市规划区规划要求，为筹集城市规划区基础设施建设资金所收取的费用。城市配套费属于政府性基金。</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 xml:space="preserve">第三条  </w:t>
      </w:r>
      <w:r>
        <w:rPr>
          <w:rFonts w:hint="default" w:ascii="Times New Roman" w:hAnsi="Times New Roman" w:eastAsia="仿宋_GB2312" w:cs="Times New Roman"/>
          <w:kern w:val="2"/>
          <w:sz w:val="32"/>
          <w:szCs w:val="32"/>
          <w:lang w:val="en-US" w:eastAsia="zh-CN" w:bidi="ar-SA"/>
        </w:rPr>
        <w:t>凡在县城规划区范围内新建、扩建和改建建设项目（含临时建设项目）的单位和个人，均应按照本办法缴纳城市配套费。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 xml:space="preserve">第四条  </w:t>
      </w:r>
      <w:r>
        <w:rPr>
          <w:rFonts w:hint="default" w:ascii="Times New Roman" w:hAnsi="Times New Roman" w:eastAsia="仿宋_GB2312" w:cs="Times New Roman"/>
          <w:kern w:val="2"/>
          <w:sz w:val="32"/>
          <w:szCs w:val="32"/>
          <w:lang w:val="en-US" w:eastAsia="zh-CN" w:bidi="ar-SA"/>
        </w:rPr>
        <w:t>城市配套费由县政府委托县住房城乡建设局负责征收。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第五条</w:t>
      </w:r>
      <w:r>
        <w:rPr>
          <w:rFonts w:hint="default" w:ascii="Times New Roman" w:hAnsi="Times New Roman" w:eastAsia="仿宋_GB2312" w:cs="Times New Roman"/>
          <w:kern w:val="2"/>
          <w:sz w:val="32"/>
          <w:szCs w:val="32"/>
          <w:lang w:val="en-US" w:eastAsia="zh-CN" w:bidi="ar-SA"/>
        </w:rPr>
        <w:t xml:space="preserve">  城市配套费的征收标准按建设项目的建筑面积计征，每平方米征收70元。其中：</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（一）新建、扩建和改建的各类建设项目，按建筑面积征收</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（二）原享受减免城市配套费优惠政策的建设项目，若用途发生改变，按改变用途后建设项目的建筑面积征收。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（三）经行政执法部门处罚后予以保留的违章建设项目，应当按规定一次性全额补缴城市配套费。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第六条</w:t>
      </w:r>
      <w:r>
        <w:rPr>
          <w:rFonts w:hint="default" w:ascii="Times New Roman" w:hAnsi="Times New Roman" w:eastAsia="仿宋_GB2312" w:cs="Times New Roman"/>
          <w:color w:val="000000"/>
          <w:kern w:val="2"/>
          <w:sz w:val="32"/>
          <w:szCs w:val="32"/>
          <w:lang w:val="en-US" w:eastAsia="zh-CN" w:bidi="ar-SA"/>
        </w:rPr>
        <w:t xml:space="preserve">  建设单位和个人凭《建设工程规划许可证》等资料到县住建局核准缴纳城市配套费；建设单位和个人应当在领取《建设工程施工许可证》前，按规定到县住建局办理城市配套费缴费手续。</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第七条</w:t>
      </w:r>
      <w:r>
        <w:rPr>
          <w:rFonts w:hint="default" w:ascii="Times New Roman" w:hAnsi="Times New Roman" w:eastAsia="仿宋_GB2312" w:cs="Times New Roman"/>
          <w:kern w:val="2"/>
          <w:sz w:val="32"/>
          <w:szCs w:val="32"/>
          <w:lang w:val="en-US" w:eastAsia="zh-CN" w:bidi="ar-SA"/>
        </w:rPr>
        <w:t xml:space="preserve">  城市配套费减免政策：</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凡按照法律、行政法规和中共中央、国务院、财政部有关规定应当予以减免的，按有关规定执行。享受减免优惠的建设项目，只减免政府统筹部分，用于供气、供热、供水配套建设部分不予减免。</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 xml:space="preserve">第八条  </w:t>
      </w:r>
      <w:r>
        <w:rPr>
          <w:rFonts w:hint="default" w:ascii="Times New Roman" w:hAnsi="Times New Roman" w:eastAsia="仿宋_GB2312" w:cs="Times New Roman"/>
          <w:kern w:val="2"/>
          <w:sz w:val="32"/>
          <w:szCs w:val="32"/>
          <w:lang w:val="en-US" w:eastAsia="zh-CN" w:bidi="ar-SA"/>
        </w:rPr>
        <w:t>城市配套费减免申报审批程序：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凡按法律、行政法规和中共中央、国务院、财政部有关规定需减免城市配套费的建设项目，由建设单位和个人提出申请，经县住房城乡建设局会同县自然资源局、县财政局审核提出意见后，报县政府审定。城市配套费征收部门依据县政府审批意见办理减免手续。</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第九条</w:t>
      </w:r>
      <w:r>
        <w:rPr>
          <w:rFonts w:hint="default" w:ascii="Times New Roman" w:hAnsi="Times New Roman" w:eastAsia="仿宋_GB2312" w:cs="Times New Roman"/>
          <w:kern w:val="2"/>
          <w:sz w:val="32"/>
          <w:szCs w:val="32"/>
          <w:lang w:val="en-US" w:eastAsia="zh-CN" w:bidi="ar-SA"/>
        </w:rPr>
        <w:t xml:space="preserve">  城市配套费征收部门收取城市配套费使用河南省财政厅统一监制的政府非税收入票据，所征收的资金全部纳入财</w:t>
      </w:r>
      <w:r>
        <w:rPr>
          <w:rFonts w:hint="default" w:ascii="Times New Roman" w:hAnsi="Times New Roman" w:eastAsia="仿宋_GB2312" w:cs="Times New Roman"/>
          <w:spacing w:val="-11"/>
          <w:kern w:val="2"/>
          <w:sz w:val="32"/>
          <w:szCs w:val="32"/>
          <w:lang w:val="en-US" w:eastAsia="zh-CN" w:bidi="ar-SA"/>
        </w:rPr>
        <w:t>政基金预算，实行收支两条线，由政府统筹用于城市基础设施建设。</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第十条</w:t>
      </w:r>
      <w:r>
        <w:rPr>
          <w:rFonts w:hint="default" w:ascii="Times New Roman" w:hAnsi="Times New Roman" w:eastAsia="仿宋_GB2312" w:cs="Times New Roman"/>
          <w:kern w:val="2"/>
          <w:sz w:val="32"/>
          <w:szCs w:val="32"/>
          <w:lang w:val="en-US" w:eastAsia="zh-CN" w:bidi="ar-SA"/>
        </w:rPr>
        <w:t xml:space="preserve">  建设项目缴纳的城市配套费应计入建设工程造价。商品房项目缴纳的城市配套费应计入房屋销售价格，开发商不得在房价外向购房者另行加收。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第十一条</w:t>
      </w:r>
      <w:r>
        <w:rPr>
          <w:rFonts w:hint="default" w:ascii="Times New Roman" w:hAnsi="Times New Roman" w:eastAsia="仿宋_GB2312" w:cs="Times New Roman"/>
          <w:kern w:val="2"/>
          <w:sz w:val="32"/>
          <w:szCs w:val="32"/>
          <w:lang w:val="en-US" w:eastAsia="zh-CN" w:bidi="ar-SA"/>
        </w:rPr>
        <w:t xml:space="preserve">  燃气公司、热力公司凭缴纳城市配套费收据办理入网手续。</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第十二条</w:t>
      </w:r>
      <w:r>
        <w:rPr>
          <w:rFonts w:hint="default" w:ascii="Times New Roman" w:hAnsi="Times New Roman" w:eastAsia="仿宋_GB2312" w:cs="Times New Roman"/>
          <w:kern w:val="2"/>
          <w:sz w:val="32"/>
          <w:szCs w:val="32"/>
          <w:lang w:val="en-US" w:eastAsia="zh-CN" w:bidi="ar-SA"/>
        </w:rPr>
        <w:t xml:space="preserve">  县财政、审计部门应加强对城市配套费征收、使用和管理的监督检查，建立健全规章制度，保证城市配套费专项用于城市基础设施建设。</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第十三条</w:t>
      </w:r>
      <w:r>
        <w:rPr>
          <w:rFonts w:hint="default" w:ascii="Times New Roman" w:hAnsi="Times New Roman" w:eastAsia="仿宋_GB2312" w:cs="Times New Roman"/>
          <w:kern w:val="2"/>
          <w:sz w:val="32"/>
          <w:szCs w:val="32"/>
          <w:lang w:val="en-US" w:eastAsia="zh-CN" w:bidi="ar-SA"/>
        </w:rPr>
        <w:t xml:space="preserve">  城市配套费征收部门要严格按规定的征收范围、标准、程序收取城市配套费，不得随意提高或降低征收标准、扩大或缩小征收范围。违反法律、行政法规和中共中央、国务院、财政部有关规定，擅自批准减、免、缓缴城市配套费的，对有关责任人依法给予行政处分；构成犯罪的，依法追究刑事责任。</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第十四条</w:t>
      </w:r>
      <w:r>
        <w:rPr>
          <w:rFonts w:hint="default" w:ascii="Times New Roman" w:hAnsi="Times New Roman" w:eastAsia="仿宋_GB2312" w:cs="Times New Roman"/>
          <w:kern w:val="2"/>
          <w:sz w:val="32"/>
          <w:szCs w:val="32"/>
          <w:lang w:val="en-US" w:eastAsia="zh-CN" w:bidi="ar-SA"/>
        </w:rPr>
        <w:t xml:space="preserve">  按本办法征收城市配套费后，不再征收市政基础设施配套费、绿化费、集中供热入网建设费、天然气基础设施管网建设开发费等其他配套性收费。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imes New Roman" w:hAnsi="Times New Roman" w:eastAsia="黑体" w:cs="Times New Roman"/>
          <w:kern w:val="2"/>
          <w:sz w:val="32"/>
          <w:szCs w:val="32"/>
          <w:lang w:val="en-US" w:eastAsia="zh-CN" w:bidi="ar-SA"/>
        </w:rPr>
        <w:t xml:space="preserve">    </w:t>
      </w:r>
      <w:r>
        <w:rPr>
          <w:rFonts w:hint="default" w:ascii="Times New Roman" w:hAnsi="Times New Roman" w:eastAsia="黑体" w:cs="Times New Roman"/>
          <w:kern w:val="2"/>
          <w:sz w:val="32"/>
          <w:szCs w:val="32"/>
          <w:lang w:val="en-US" w:eastAsia="zh-CN" w:bidi="ar-SA"/>
        </w:rPr>
        <w:t>第十五条</w:t>
      </w:r>
      <w:r>
        <w:rPr>
          <w:rFonts w:hint="default" w:ascii="Times New Roman" w:hAnsi="Times New Roman" w:eastAsia="仿宋_GB2312" w:cs="Times New Roman"/>
          <w:kern w:val="2"/>
          <w:sz w:val="32"/>
          <w:szCs w:val="32"/>
          <w:lang w:val="en-US" w:eastAsia="zh-CN" w:bidi="ar-SA"/>
        </w:rPr>
        <w:t xml:space="preserve">  本办法自发布之日起施行。之前发布的相关规定与本办法不一致的，按本办法执行。原《卢氏县城市基础设施配套费征收管理办法》同时废止。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lang w:eastAsia="zh-CN"/>
        </w:rPr>
      </w:pPr>
    </w:p>
    <w:p>
      <w:pPr>
        <w:rPr>
          <w:rFonts w:hint="eastAsia" w:eastAsiaTheme="minorEastAsia"/>
          <w:lang w:eastAsia="zh-CN"/>
        </w:rPr>
      </w:pPr>
    </w:p>
    <w:tbl>
      <w:tblPr>
        <w:tblStyle w:val="12"/>
        <w:tblpPr w:leftFromText="180" w:rightFromText="180" w:vertAnchor="page" w:horzAnchor="page" w:tblpX="1582" w:tblpY="14280"/>
        <w:tblOverlap w:val="never"/>
        <w:tblW w:w="8900"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8900"/>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trPr>
        <w:tc>
          <w:tcPr>
            <w:tcW w:w="8900" w:type="dxa"/>
            <w:vAlign w:val="bottom"/>
          </w:tcPr>
          <w:p>
            <w:pPr>
              <w:keepNext w:val="0"/>
              <w:keepLines w:val="0"/>
              <w:pageBreakBefore w:val="0"/>
              <w:widowControl w:val="0"/>
              <w:kinsoku/>
              <w:wordWrap/>
              <w:overflowPunct/>
              <w:topLinePunct w:val="0"/>
              <w:autoSpaceDE/>
              <w:autoSpaceDN/>
              <w:bidi w:val="0"/>
              <w:adjustRightInd/>
              <w:snapToGrid/>
              <w:spacing w:after="159" w:afterLines="50" w:line="400" w:lineRule="exact"/>
              <w:ind w:left="210" w:leftChars="100" w:right="210" w:rightChars="100" w:firstLine="0" w:firstLineChars="0"/>
              <w:jc w:val="both"/>
              <w:textAlignment w:val="auto"/>
              <w:outlineLvl w:val="9"/>
              <w:rPr>
                <w:rFonts w:hint="eastAsia" w:ascii="Times New Roman" w:hAnsi="Times New Roman" w:eastAsia="方正仿宋简体"/>
                <w:kern w:val="0"/>
                <w:sz w:val="28"/>
                <w:szCs w:val="28"/>
                <w:lang w:eastAsia="zh-CN"/>
              </w:rPr>
            </w:pPr>
            <w:r>
              <w:rPr>
                <w:rFonts w:hint="eastAsia" w:ascii="Times New Roman" w:hAnsi="Times New Roman" w:eastAsia="仿宋_GB2312" w:cs="仿宋_GB2312"/>
                <w:sz w:val="28"/>
                <w:szCs w:val="28"/>
                <w:lang w:eastAsia="zh-CN"/>
              </w:rPr>
              <w:t>卢氏县人民政府办公室</w:t>
            </w:r>
            <w:r>
              <w:rPr>
                <w:rFonts w:hint="eastAsia" w:ascii="Times New Roman" w:hAnsi="Times New Roman" w:eastAsia="仿宋_GB2312" w:cs="仿宋_GB2312"/>
                <w:kern w:val="0"/>
                <w:sz w:val="28"/>
                <w:szCs w:val="28"/>
                <w:lang w:eastAsia="zh-CN"/>
              </w:rPr>
              <w:t xml:space="preserve">    </w:t>
            </w:r>
            <w:r>
              <w:rPr>
                <w:rFonts w:hint="eastAsia" w:ascii="Times New Roman" w:hAnsi="Times New Roman" w:eastAsia="仿宋_GB2312" w:cs="仿宋_GB2312"/>
                <w:kern w:val="0"/>
                <w:sz w:val="28"/>
                <w:szCs w:val="28"/>
                <w:lang w:val="en-US" w:eastAsia="zh-CN"/>
              </w:rPr>
              <w:t xml:space="preserve">   </w:t>
            </w:r>
            <w:r>
              <w:rPr>
                <w:rFonts w:hint="eastAsia" w:ascii="Times New Roman" w:hAnsi="Times New Roman" w:eastAsia="仿宋_GB2312" w:cs="仿宋_GB2312"/>
                <w:kern w:val="0"/>
                <w:sz w:val="28"/>
                <w:szCs w:val="28"/>
                <w:lang w:eastAsia="zh-CN"/>
              </w:rPr>
              <w:t xml:space="preserve">    </w:t>
            </w:r>
            <w:r>
              <w:rPr>
                <w:rFonts w:hint="eastAsia" w:ascii="Times New Roman" w:hAnsi="Times New Roman" w:eastAsia="仿宋_GB2312" w:cs="仿宋_GB2312"/>
                <w:kern w:val="0"/>
                <w:sz w:val="28"/>
                <w:szCs w:val="28"/>
                <w:lang w:val="en-US" w:eastAsia="zh-CN"/>
              </w:rPr>
              <w:t xml:space="preserve">          </w:t>
            </w:r>
            <w:r>
              <w:rPr>
                <w:rFonts w:hint="default" w:ascii="Times New Roman" w:hAnsi="Times New Roman" w:eastAsia="仿宋_GB2312" w:cs="Times New Roman"/>
                <w:kern w:val="0"/>
                <w:sz w:val="28"/>
                <w:szCs w:val="28"/>
                <w:lang w:eastAsia="zh-CN"/>
              </w:rPr>
              <w:t>20</w:t>
            </w:r>
            <w:r>
              <w:rPr>
                <w:rFonts w:hint="eastAsia" w:eastAsia="仿宋_GB2312" w:cs="Times New Roman"/>
                <w:kern w:val="0"/>
                <w:sz w:val="28"/>
                <w:szCs w:val="28"/>
                <w:lang w:val="en-US" w:eastAsia="zh-CN"/>
              </w:rPr>
              <w:t>21</w:t>
            </w:r>
            <w:r>
              <w:rPr>
                <w:rFonts w:hint="default" w:ascii="Times New Roman" w:hAnsi="Times New Roman" w:eastAsia="仿宋_GB2312" w:cs="Times New Roman"/>
                <w:kern w:val="0"/>
                <w:sz w:val="28"/>
                <w:szCs w:val="28"/>
                <w:lang w:eastAsia="zh-CN"/>
              </w:rPr>
              <w:t>年</w:t>
            </w:r>
            <w:r>
              <w:rPr>
                <w:rFonts w:hint="eastAsia" w:ascii="Times New Roman" w:hAnsi="Times New Roman" w:eastAsia="仿宋_GB2312" w:cs="Times New Roman"/>
                <w:kern w:val="0"/>
                <w:sz w:val="28"/>
                <w:szCs w:val="28"/>
                <w:lang w:val="en-US" w:eastAsia="zh-CN"/>
              </w:rPr>
              <w:t>12</w:t>
            </w:r>
            <w:r>
              <w:rPr>
                <w:rFonts w:hint="default" w:ascii="Times New Roman" w:hAnsi="Times New Roman" w:eastAsia="仿宋_GB2312" w:cs="Times New Roman"/>
                <w:kern w:val="0"/>
                <w:sz w:val="28"/>
                <w:szCs w:val="28"/>
                <w:lang w:eastAsia="zh-CN"/>
              </w:rPr>
              <w:t>月</w:t>
            </w:r>
            <w:r>
              <w:rPr>
                <w:rFonts w:hint="eastAsia" w:eastAsia="仿宋_GB2312" w:cs="Times New Roman"/>
                <w:kern w:val="0"/>
                <w:sz w:val="28"/>
                <w:szCs w:val="28"/>
                <w:lang w:val="en-US" w:eastAsia="zh-CN"/>
              </w:rPr>
              <w:t>18</w:t>
            </w:r>
            <w:r>
              <w:rPr>
                <w:rFonts w:hint="default" w:ascii="Times New Roman" w:hAnsi="Times New Roman" w:eastAsia="仿宋_GB2312" w:cs="Times New Roman"/>
                <w:kern w:val="0"/>
                <w:sz w:val="28"/>
                <w:szCs w:val="28"/>
                <w:lang w:eastAsia="zh-CN"/>
              </w:rPr>
              <w:t>日</w:t>
            </w:r>
            <w:r>
              <w:rPr>
                <w:rFonts w:hint="eastAsia" w:ascii="Times New Roman" w:hAnsi="Times New Roman" w:eastAsia="仿宋_GB2312" w:cs="仿宋_GB2312"/>
                <w:kern w:val="0"/>
                <w:sz w:val="28"/>
                <w:szCs w:val="28"/>
                <w:lang w:eastAsia="zh-CN"/>
              </w:rPr>
              <w:t>印发</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sectPr>
          <w:footerReference r:id="rId3" w:type="default"/>
          <w:pgSz w:w="11906" w:h="16838"/>
          <w:pgMar w:top="2098" w:right="1474" w:bottom="1984" w:left="1587" w:header="851" w:footer="1531"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3667125</wp:posOffset>
            </wp:positionH>
            <wp:positionV relativeFrom="paragraph">
              <wp:posOffset>1579245</wp:posOffset>
            </wp:positionV>
            <wp:extent cx="1790700" cy="476250"/>
            <wp:effectExtent l="0" t="0" r="0" b="0"/>
            <wp:wrapTight wrapText="bothSides">
              <wp:wrapPolygon>
                <wp:start x="0" y="0"/>
                <wp:lineTo x="0" y="20736"/>
                <wp:lineTo x="21370" y="20736"/>
                <wp:lineTo x="21370" y="0"/>
                <wp:lineTo x="0" y="0"/>
              </wp:wrapPolygon>
            </wp:wrapTight>
            <wp:docPr id="2" name="图片 2" descr="卢政办〔2021〕44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卢政办〔2021〕44号"/>
                    <pic:cNvPicPr>
                      <a:picLocks noChangeAspect="1"/>
                    </pic:cNvPicPr>
                  </pic:nvPicPr>
                  <pic:blipFill>
                    <a:blip r:embed="rId7"/>
                    <a:stretch>
                      <a:fillRect/>
                    </a:stretch>
                  </pic:blipFill>
                  <pic:spPr>
                    <a:xfrm>
                      <a:off x="0" y="0"/>
                      <a:ext cx="1790700" cy="476250"/>
                    </a:xfrm>
                    <a:prstGeom prst="rect">
                      <a:avLst/>
                    </a:prstGeom>
                  </pic:spPr>
                </pic:pic>
              </a:graphicData>
            </a:graphic>
          </wp:anchor>
        </w:drawing>
      </w:r>
    </w:p>
    <w:p>
      <w:pPr>
        <w:pStyle w:val="10"/>
      </w:pPr>
    </w:p>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 w:hAnsi="仿宋" w:eastAsia="仿宋" w:cs="仿宋"/>
          <w:sz w:val="32"/>
          <w:szCs w:val="32"/>
        </w:rPr>
      </w:pPr>
    </w:p>
    <w:p>
      <w:pPr>
        <w:pStyle w:val="10"/>
        <w:keepNext w:val="0"/>
        <w:keepLines w:val="0"/>
        <w:pageBreakBefore w:val="0"/>
        <w:widowControl w:val="0"/>
        <w:kinsoku/>
        <w:wordWrap/>
        <w:overflowPunct/>
        <w:topLinePunct w:val="0"/>
        <w:bidi w:val="0"/>
        <w:spacing w:line="240" w:lineRule="auto"/>
        <w:ind w:left="0" w:leftChars="0" w:firstLine="0" w:firstLineChars="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spacing w:line="540" w:lineRule="exact"/>
        <w:ind w:firstLine="6080" w:firstLineChars="1900"/>
        <w:jc w:val="both"/>
        <w:textAlignment w:val="auto"/>
        <w:rPr>
          <w:rFonts w:hint="eastAsia" w:ascii="仿宋_GB2312" w:hAnsi="仿宋_GB2312" w:eastAsia="仿宋_GB2312" w:cs="仿宋_GB2312"/>
          <w:b w:val="0"/>
          <w:bCs w:val="0"/>
          <w:sz w:val="32"/>
          <w:szCs w:val="32"/>
          <w:lang w:val="en-US" w:eastAsia="zh-CN"/>
        </w:rPr>
      </w:pPr>
    </w:p>
    <w:p>
      <w:pPr>
        <w:pStyle w:val="11"/>
        <w:rPr>
          <w:rFonts w:hint="eastAsia" w:ascii="仿宋_GB2312" w:hAnsi="仿宋_GB2312" w:eastAsia="仿宋_GB2312" w:cs="仿宋_GB2312"/>
          <w:b w:val="0"/>
          <w:bCs w:val="0"/>
          <w:sz w:val="32"/>
          <w:szCs w:val="32"/>
          <w:lang w:val="en-US" w:eastAsia="zh-CN"/>
        </w:rPr>
      </w:pPr>
    </w:p>
    <w:p>
      <w:pPr>
        <w:pStyle w:val="10"/>
        <w:rPr>
          <w:rFonts w:hint="eastAsia" w:ascii="仿宋_GB2312" w:hAnsi="仿宋_GB2312" w:eastAsia="仿宋_GB2312" w:cs="仿宋_GB2312"/>
          <w:b w:val="0"/>
          <w:bCs w:val="0"/>
          <w:sz w:val="32"/>
          <w:szCs w:val="32"/>
          <w:lang w:val="en-US" w:eastAsia="zh-CN"/>
        </w:rPr>
      </w:pPr>
    </w:p>
    <w:p>
      <w:pPr>
        <w:pStyle w:val="10"/>
        <w:rPr>
          <w:rFonts w:hint="eastAsia" w:ascii="仿宋_GB2312" w:hAnsi="仿宋_GB2312" w:eastAsia="仿宋_GB2312" w:cs="仿宋_GB2312"/>
          <w:b w:val="0"/>
          <w:bCs w:val="0"/>
          <w:sz w:val="32"/>
          <w:szCs w:val="32"/>
          <w:lang w:val="en-US" w:eastAsia="zh-CN"/>
        </w:rPr>
      </w:pPr>
    </w:p>
    <w:p>
      <w:pPr>
        <w:pStyle w:val="10"/>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 w:cs="仿宋"/>
          <w:color w:val="auto"/>
          <w:kern w:val="0"/>
          <w:sz w:val="32"/>
          <w:szCs w:val="32"/>
          <w:shd w:val="clear" w:color="auto" w:fill="FFFFFF"/>
          <w:lang w:val="en-US" w:eastAsia="zh-CN"/>
        </w:rPr>
        <w:sectPr>
          <w:footerReference r:id="rId4" w:type="default"/>
          <w:pgSz w:w="11906" w:h="16838"/>
          <w:pgMar w:top="2098" w:right="1474" w:bottom="1984" w:left="1587" w:header="851" w:footer="1531" w:gutter="0"/>
          <w:pgNumType w:fmt="decimal"/>
          <w:cols w:space="425" w:num="1"/>
          <w:docGrid w:type="lines" w:linePitch="312" w:charSpace="0"/>
        </w:sectPr>
      </w:pPr>
    </w:p>
    <w:p>
      <w:pPr>
        <w:pStyle w:val="11"/>
        <w:rPr>
          <w:rFonts w:hint="default"/>
          <w:lang w:val="en-US" w:eastAsia="zh-CN"/>
        </w:rPr>
      </w:pPr>
    </w:p>
    <w:p>
      <w:pPr>
        <w:pStyle w:val="3"/>
        <w:rPr>
          <w:rFonts w:hint="default" w:ascii="Times New Roman" w:hAnsi="Times New Roman" w:eastAsia="仿宋" w:cs="仿宋"/>
          <w:color w:val="auto"/>
          <w:kern w:val="0"/>
          <w:sz w:val="32"/>
          <w:szCs w:val="32"/>
          <w:shd w:val="clear" w:color="auto" w:fill="FFFFFF"/>
          <w:lang w:val="en-US" w:eastAsia="zh-CN"/>
        </w:rPr>
      </w:pPr>
    </w:p>
    <w:p>
      <w:pPr>
        <w:rPr>
          <w:rFonts w:hint="default" w:ascii="Times New Roman" w:hAnsi="Times New Roman" w:eastAsia="仿宋" w:cs="仿宋"/>
          <w:color w:val="auto"/>
          <w:kern w:val="0"/>
          <w:sz w:val="32"/>
          <w:szCs w:val="32"/>
          <w:shd w:val="clear" w:color="auto" w:fill="FFFFFF"/>
          <w:lang w:val="en-US" w:eastAsia="zh-CN"/>
        </w:rPr>
      </w:pPr>
    </w:p>
    <w:p>
      <w:pPr>
        <w:pStyle w:val="3"/>
        <w:rPr>
          <w:rFonts w:hint="default" w:ascii="Times New Roman" w:hAnsi="Times New Roman" w:eastAsia="仿宋" w:cs="仿宋"/>
          <w:color w:val="auto"/>
          <w:kern w:val="0"/>
          <w:sz w:val="32"/>
          <w:szCs w:val="32"/>
          <w:shd w:val="clear" w:color="auto" w:fill="FFFFFF"/>
          <w:lang w:val="en-US" w:eastAsia="zh-CN"/>
        </w:rPr>
      </w:pPr>
    </w:p>
    <w:p>
      <w:pPr>
        <w:rPr>
          <w:rFonts w:hint="default" w:ascii="Times New Roman" w:hAnsi="Times New Roman" w:eastAsia="仿宋" w:cs="仿宋"/>
          <w:color w:val="auto"/>
          <w:kern w:val="0"/>
          <w:sz w:val="32"/>
          <w:szCs w:val="32"/>
          <w:shd w:val="clear" w:color="auto" w:fill="FFFFFF"/>
          <w:lang w:val="en-US" w:eastAsia="zh-CN"/>
        </w:rPr>
      </w:pPr>
    </w:p>
    <w:p>
      <w:pPr>
        <w:pStyle w:val="3"/>
        <w:rPr>
          <w:rFonts w:hint="default" w:ascii="Times New Roman" w:hAnsi="Times New Roman" w:eastAsia="仿宋" w:cs="仿宋"/>
          <w:color w:val="auto"/>
          <w:kern w:val="0"/>
          <w:sz w:val="32"/>
          <w:szCs w:val="32"/>
          <w:shd w:val="clear" w:color="auto" w:fill="FFFFFF"/>
          <w:lang w:val="en-US" w:eastAsia="zh-CN"/>
        </w:rPr>
      </w:pPr>
    </w:p>
    <w:p>
      <w:pPr>
        <w:rPr>
          <w:rFonts w:hint="default" w:ascii="Times New Roman" w:hAnsi="Times New Roman" w:eastAsia="仿宋" w:cs="仿宋"/>
          <w:color w:val="auto"/>
          <w:kern w:val="0"/>
          <w:sz w:val="32"/>
          <w:szCs w:val="32"/>
          <w:shd w:val="clear" w:color="auto" w:fill="FFFFFF"/>
          <w:lang w:val="en-US" w:eastAsia="zh-CN"/>
        </w:rPr>
      </w:pPr>
    </w:p>
    <w:p>
      <w:pPr>
        <w:pStyle w:val="3"/>
        <w:rPr>
          <w:rFonts w:hint="default" w:ascii="Times New Roman" w:hAnsi="Times New Roman" w:eastAsia="仿宋" w:cs="仿宋"/>
          <w:color w:val="auto"/>
          <w:kern w:val="0"/>
          <w:sz w:val="32"/>
          <w:szCs w:val="32"/>
          <w:shd w:val="clear" w:color="auto" w:fill="FFFFFF"/>
          <w:lang w:val="en-US" w:eastAsia="zh-CN"/>
        </w:rPr>
      </w:pPr>
    </w:p>
    <w:p>
      <w:pPr>
        <w:rPr>
          <w:rFonts w:hint="default" w:ascii="Times New Roman" w:hAnsi="Times New Roman" w:eastAsia="仿宋" w:cs="仿宋"/>
          <w:color w:val="auto"/>
          <w:kern w:val="0"/>
          <w:sz w:val="32"/>
          <w:szCs w:val="32"/>
          <w:shd w:val="clear" w:color="auto" w:fill="FFFFFF"/>
          <w:lang w:val="en-US" w:eastAsia="zh-CN"/>
        </w:rPr>
      </w:pPr>
    </w:p>
    <w:p>
      <w:pPr>
        <w:pStyle w:val="3"/>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7059"/>
        </w:tabs>
        <w:bidi w:val="0"/>
        <w:jc w:val="left"/>
        <w:rPr>
          <w:rFonts w:hint="default"/>
          <w:lang w:val="en-US" w:eastAsia="zh-CN"/>
        </w:rPr>
      </w:pPr>
      <w:r>
        <w:rPr>
          <w:rFonts w:hint="eastAsia"/>
          <w:lang w:val="en-US" w:eastAsia="zh-CN"/>
        </w:rPr>
        <w:tab/>
      </w:r>
    </w:p>
    <w:sectPr>
      <w:footerReference r:id="rId5" w:type="default"/>
      <w:pgSz w:w="11906" w:h="16838"/>
      <w:pgMar w:top="2098" w:right="1474" w:bottom="1984" w:left="1587"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1177C"/>
    <w:rsid w:val="001328F4"/>
    <w:rsid w:val="0092303C"/>
    <w:rsid w:val="00EC3ACB"/>
    <w:rsid w:val="01B05A1C"/>
    <w:rsid w:val="01D0611C"/>
    <w:rsid w:val="020A3740"/>
    <w:rsid w:val="02652E84"/>
    <w:rsid w:val="02D32ABA"/>
    <w:rsid w:val="03153601"/>
    <w:rsid w:val="031A26CE"/>
    <w:rsid w:val="03EB7342"/>
    <w:rsid w:val="04B52EE4"/>
    <w:rsid w:val="04E847EC"/>
    <w:rsid w:val="052648ED"/>
    <w:rsid w:val="058E2DAE"/>
    <w:rsid w:val="059547BB"/>
    <w:rsid w:val="05C0078E"/>
    <w:rsid w:val="071F3B17"/>
    <w:rsid w:val="073A147B"/>
    <w:rsid w:val="07AA4834"/>
    <w:rsid w:val="08431AD8"/>
    <w:rsid w:val="084C1977"/>
    <w:rsid w:val="0908496E"/>
    <w:rsid w:val="09F06D1F"/>
    <w:rsid w:val="0A01088D"/>
    <w:rsid w:val="0A571C2B"/>
    <w:rsid w:val="0A9B2290"/>
    <w:rsid w:val="0A9D5622"/>
    <w:rsid w:val="0AD1400D"/>
    <w:rsid w:val="0AF454B7"/>
    <w:rsid w:val="0B4F6ADC"/>
    <w:rsid w:val="0B515114"/>
    <w:rsid w:val="0C1712E6"/>
    <w:rsid w:val="0CA73FB3"/>
    <w:rsid w:val="0CB25F44"/>
    <w:rsid w:val="0CB85DD1"/>
    <w:rsid w:val="0CBA1DAF"/>
    <w:rsid w:val="0CBE5B95"/>
    <w:rsid w:val="0D5B6B1D"/>
    <w:rsid w:val="0DAC6AD7"/>
    <w:rsid w:val="0E2E5F86"/>
    <w:rsid w:val="0E67233F"/>
    <w:rsid w:val="0E6753AA"/>
    <w:rsid w:val="0EE309F2"/>
    <w:rsid w:val="0EF0557B"/>
    <w:rsid w:val="0F6D3736"/>
    <w:rsid w:val="0FF71C20"/>
    <w:rsid w:val="102D6D01"/>
    <w:rsid w:val="111607B1"/>
    <w:rsid w:val="11B95783"/>
    <w:rsid w:val="129F059A"/>
    <w:rsid w:val="130E453D"/>
    <w:rsid w:val="13881EE0"/>
    <w:rsid w:val="13D432F6"/>
    <w:rsid w:val="142705A4"/>
    <w:rsid w:val="14317BA7"/>
    <w:rsid w:val="1571165C"/>
    <w:rsid w:val="1634486E"/>
    <w:rsid w:val="163B68FE"/>
    <w:rsid w:val="17440EAB"/>
    <w:rsid w:val="17FD19F7"/>
    <w:rsid w:val="181C6202"/>
    <w:rsid w:val="18B47F2B"/>
    <w:rsid w:val="1981672E"/>
    <w:rsid w:val="19B31F7F"/>
    <w:rsid w:val="19C72D47"/>
    <w:rsid w:val="19E06297"/>
    <w:rsid w:val="1AC14EFB"/>
    <w:rsid w:val="1BCF7E98"/>
    <w:rsid w:val="1D1F43CB"/>
    <w:rsid w:val="1E1B0FCC"/>
    <w:rsid w:val="1E220CB2"/>
    <w:rsid w:val="1E6F64ED"/>
    <w:rsid w:val="1F3F7C27"/>
    <w:rsid w:val="1FAC7A6D"/>
    <w:rsid w:val="1FC8202D"/>
    <w:rsid w:val="22331B48"/>
    <w:rsid w:val="225016E4"/>
    <w:rsid w:val="22D11CF6"/>
    <w:rsid w:val="22EC4507"/>
    <w:rsid w:val="230E2836"/>
    <w:rsid w:val="241F31F4"/>
    <w:rsid w:val="24214A1A"/>
    <w:rsid w:val="242F264C"/>
    <w:rsid w:val="249868C7"/>
    <w:rsid w:val="24F8134F"/>
    <w:rsid w:val="2555043A"/>
    <w:rsid w:val="25877DA0"/>
    <w:rsid w:val="25B4253E"/>
    <w:rsid w:val="25D129DB"/>
    <w:rsid w:val="26040F7E"/>
    <w:rsid w:val="26E378D9"/>
    <w:rsid w:val="2838080E"/>
    <w:rsid w:val="28E57441"/>
    <w:rsid w:val="298D0148"/>
    <w:rsid w:val="2A012CA5"/>
    <w:rsid w:val="2AE46E32"/>
    <w:rsid w:val="2AE923D1"/>
    <w:rsid w:val="2C606A56"/>
    <w:rsid w:val="2C931677"/>
    <w:rsid w:val="2CE02E51"/>
    <w:rsid w:val="2D094253"/>
    <w:rsid w:val="2D552A94"/>
    <w:rsid w:val="2E56621D"/>
    <w:rsid w:val="2E863A25"/>
    <w:rsid w:val="2EDC3689"/>
    <w:rsid w:val="302C19D1"/>
    <w:rsid w:val="304E6326"/>
    <w:rsid w:val="310E7EE6"/>
    <w:rsid w:val="31566252"/>
    <w:rsid w:val="31DC4991"/>
    <w:rsid w:val="31DD3CC5"/>
    <w:rsid w:val="32622D2C"/>
    <w:rsid w:val="326E017E"/>
    <w:rsid w:val="326E63A6"/>
    <w:rsid w:val="3429463C"/>
    <w:rsid w:val="34CD1E2E"/>
    <w:rsid w:val="362C60A9"/>
    <w:rsid w:val="370E3972"/>
    <w:rsid w:val="37187E13"/>
    <w:rsid w:val="372A7BEA"/>
    <w:rsid w:val="37B92700"/>
    <w:rsid w:val="382B09D5"/>
    <w:rsid w:val="391612B5"/>
    <w:rsid w:val="3A0737FC"/>
    <w:rsid w:val="3A2325A1"/>
    <w:rsid w:val="3A2941E6"/>
    <w:rsid w:val="3B9D5EB3"/>
    <w:rsid w:val="3BAA37A4"/>
    <w:rsid w:val="3DD03461"/>
    <w:rsid w:val="3E505A4B"/>
    <w:rsid w:val="3E72048F"/>
    <w:rsid w:val="3F0637D4"/>
    <w:rsid w:val="3F2F03D8"/>
    <w:rsid w:val="3F7B027F"/>
    <w:rsid w:val="3FF33F07"/>
    <w:rsid w:val="40F23235"/>
    <w:rsid w:val="4157217F"/>
    <w:rsid w:val="41E426C2"/>
    <w:rsid w:val="425D0278"/>
    <w:rsid w:val="42EA1E48"/>
    <w:rsid w:val="431C3BA4"/>
    <w:rsid w:val="43DA3546"/>
    <w:rsid w:val="445D7825"/>
    <w:rsid w:val="45BF6195"/>
    <w:rsid w:val="45F56AB7"/>
    <w:rsid w:val="46370414"/>
    <w:rsid w:val="4639123D"/>
    <w:rsid w:val="46B26929"/>
    <w:rsid w:val="4801177C"/>
    <w:rsid w:val="4A2B4896"/>
    <w:rsid w:val="4A7E1852"/>
    <w:rsid w:val="4AAB3274"/>
    <w:rsid w:val="4AF257BA"/>
    <w:rsid w:val="4B1F6E3A"/>
    <w:rsid w:val="4B243BA0"/>
    <w:rsid w:val="4B946577"/>
    <w:rsid w:val="4BB06482"/>
    <w:rsid w:val="4CFF5CDB"/>
    <w:rsid w:val="4DFC5DF6"/>
    <w:rsid w:val="4E13780D"/>
    <w:rsid w:val="4F6D2441"/>
    <w:rsid w:val="4FEF4114"/>
    <w:rsid w:val="503C425C"/>
    <w:rsid w:val="51280C0A"/>
    <w:rsid w:val="51544B21"/>
    <w:rsid w:val="51B8325A"/>
    <w:rsid w:val="523C3ECB"/>
    <w:rsid w:val="5364785A"/>
    <w:rsid w:val="539C61C2"/>
    <w:rsid w:val="55312E71"/>
    <w:rsid w:val="554C6220"/>
    <w:rsid w:val="55A25B26"/>
    <w:rsid w:val="55E42581"/>
    <w:rsid w:val="55FE444B"/>
    <w:rsid w:val="563C7374"/>
    <w:rsid w:val="56BC765D"/>
    <w:rsid w:val="570A2F72"/>
    <w:rsid w:val="5773539A"/>
    <w:rsid w:val="58C30435"/>
    <w:rsid w:val="5B996C15"/>
    <w:rsid w:val="5C4969C1"/>
    <w:rsid w:val="5C4B035D"/>
    <w:rsid w:val="5C54490B"/>
    <w:rsid w:val="5CC22CFC"/>
    <w:rsid w:val="5DF5460E"/>
    <w:rsid w:val="5DFC3C06"/>
    <w:rsid w:val="5E0A3F63"/>
    <w:rsid w:val="5E1D3502"/>
    <w:rsid w:val="5E310D32"/>
    <w:rsid w:val="5F9942E5"/>
    <w:rsid w:val="5FBD6226"/>
    <w:rsid w:val="601F37BE"/>
    <w:rsid w:val="6099004D"/>
    <w:rsid w:val="60AD6E7C"/>
    <w:rsid w:val="60F70E94"/>
    <w:rsid w:val="613C09A7"/>
    <w:rsid w:val="61510957"/>
    <w:rsid w:val="61EC673A"/>
    <w:rsid w:val="62180C05"/>
    <w:rsid w:val="630856EA"/>
    <w:rsid w:val="64BB2E8D"/>
    <w:rsid w:val="666B2102"/>
    <w:rsid w:val="66CA52C2"/>
    <w:rsid w:val="66DE6DEB"/>
    <w:rsid w:val="66FF3840"/>
    <w:rsid w:val="67B961CE"/>
    <w:rsid w:val="67F520B5"/>
    <w:rsid w:val="6834533F"/>
    <w:rsid w:val="69DA4201"/>
    <w:rsid w:val="69FE3E89"/>
    <w:rsid w:val="6A001827"/>
    <w:rsid w:val="6A00617D"/>
    <w:rsid w:val="6A573500"/>
    <w:rsid w:val="6AC63FE7"/>
    <w:rsid w:val="6B3B7863"/>
    <w:rsid w:val="6B520CFD"/>
    <w:rsid w:val="6C5535AE"/>
    <w:rsid w:val="6CC35FA1"/>
    <w:rsid w:val="6CC80A9C"/>
    <w:rsid w:val="6DA90954"/>
    <w:rsid w:val="6DB81688"/>
    <w:rsid w:val="6DDB6E26"/>
    <w:rsid w:val="6E262C62"/>
    <w:rsid w:val="6E600A4D"/>
    <w:rsid w:val="6EF34B41"/>
    <w:rsid w:val="6F1D463A"/>
    <w:rsid w:val="6F270450"/>
    <w:rsid w:val="70E84FAE"/>
    <w:rsid w:val="7189496C"/>
    <w:rsid w:val="72D91588"/>
    <w:rsid w:val="736164E6"/>
    <w:rsid w:val="73DB7168"/>
    <w:rsid w:val="74107C9F"/>
    <w:rsid w:val="743D6ACB"/>
    <w:rsid w:val="74504E06"/>
    <w:rsid w:val="74936837"/>
    <w:rsid w:val="75A203A1"/>
    <w:rsid w:val="76105398"/>
    <w:rsid w:val="77527ADB"/>
    <w:rsid w:val="783B4744"/>
    <w:rsid w:val="793B5326"/>
    <w:rsid w:val="79830D01"/>
    <w:rsid w:val="79C93581"/>
    <w:rsid w:val="7A5630C9"/>
    <w:rsid w:val="7A6B38AA"/>
    <w:rsid w:val="7A9F47AC"/>
    <w:rsid w:val="7AA56C9E"/>
    <w:rsid w:val="7AF5009C"/>
    <w:rsid w:val="7B1D0034"/>
    <w:rsid w:val="7B602A8F"/>
    <w:rsid w:val="7B646260"/>
    <w:rsid w:val="7B8E3321"/>
    <w:rsid w:val="7BE34595"/>
    <w:rsid w:val="7C045032"/>
    <w:rsid w:val="7C4671AC"/>
    <w:rsid w:val="7CD44489"/>
    <w:rsid w:val="7DAC54E3"/>
    <w:rsid w:val="7E1B6D41"/>
    <w:rsid w:val="7F481A5F"/>
    <w:rsid w:val="7FF62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next w:val="1"/>
    <w:unhideWhenUsed/>
    <w:qFormat/>
    <w:uiPriority w:val="0"/>
    <w:pPr>
      <w:keepNext/>
      <w:keepLines/>
      <w:widowControl w:val="0"/>
      <w:spacing w:before="280" w:beforeLines="0" w:after="290" w:afterLines="0" w:line="372" w:lineRule="auto"/>
      <w:ind w:left="1008" w:right="0" w:hanging="1008" w:firstLineChars="0"/>
      <w:jc w:val="both"/>
      <w:textAlignment w:val="bottom"/>
      <w:outlineLvl w:val="4"/>
    </w:pPr>
    <w:rPr>
      <w:rFonts w:ascii="Calibri" w:hAnsi="Calibri" w:eastAsia="Calibri" w:cs="Times New Roman"/>
      <w:b/>
      <w:bCs/>
      <w:sz w:val="28"/>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widowControl w:val="0"/>
      <w:spacing w:before="0" w:beforeLines="0" w:after="0" w:afterLines="0" w:line="365" w:lineRule="atLeast"/>
      <w:ind w:left="1" w:right="0" w:firstLine="0" w:firstLineChars="0"/>
      <w:jc w:val="both"/>
      <w:textAlignment w:val="bottom"/>
    </w:pPr>
    <w:rPr>
      <w:rFonts w:ascii="Calibri" w:hAnsi="Calibri" w:eastAsia="宋体" w:cs="Times New Roman"/>
      <w:sz w:val="21"/>
      <w:szCs w:val="22"/>
    </w:rPr>
  </w:style>
  <w:style w:type="paragraph" w:styleId="4">
    <w:name w:val="Body Text 2"/>
    <w:basedOn w:val="1"/>
    <w:unhideWhenUsed/>
    <w:qFormat/>
    <w:uiPriority w:val="99"/>
    <w:pPr>
      <w:spacing w:after="120" w:line="480" w:lineRule="auto"/>
    </w:pPr>
    <w:rPr>
      <w:rFonts w:hint="eastAsia"/>
      <w:sz w:val="21"/>
    </w:rPr>
  </w:style>
  <w:style w:type="paragraph" w:styleId="5">
    <w:name w:val="Body Text Indent"/>
    <w:basedOn w:val="1"/>
    <w:qFormat/>
    <w:uiPriority w:val="0"/>
    <w:pPr>
      <w:widowControl w:val="0"/>
      <w:spacing w:before="0" w:beforeLines="0" w:after="0" w:afterLines="0" w:line="365" w:lineRule="atLeast"/>
      <w:ind w:left="420" w:leftChars="200" w:right="0" w:firstLine="0" w:firstLineChars="0"/>
      <w:jc w:val="both"/>
      <w:textAlignment w:val="bottom"/>
    </w:pPr>
    <w:rPr>
      <w:rFonts w:asciiTheme="minorHAnsi" w:hAnsiTheme="minorHAnsi" w:eastAsiaTheme="minorEastAsia" w:cstheme="minorBidi"/>
      <w:sz w:val="21"/>
      <w:szCs w:val="22"/>
    </w:r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Autospacing="1" w:afterAutospacing="1" w:line="240" w:lineRule="auto"/>
      <w:ind w:firstLine="0" w:firstLineChars="0"/>
      <w:jc w:val="left"/>
    </w:pPr>
    <w:rPr>
      <w:rFonts w:ascii="Calibri" w:hAnsi="Calibri"/>
      <w:kern w:val="0"/>
      <w:sz w:val="24"/>
      <w:szCs w:val="24"/>
    </w:rPr>
  </w:style>
  <w:style w:type="paragraph" w:styleId="10">
    <w:name w:val="Body Text First Indent"/>
    <w:basedOn w:val="3"/>
    <w:qFormat/>
    <w:uiPriority w:val="0"/>
    <w:pPr>
      <w:ind w:firstLine="420" w:firstLineChars="100"/>
    </w:pPr>
  </w:style>
  <w:style w:type="paragraph" w:styleId="11">
    <w:name w:val="Body Text First Indent 2"/>
    <w:basedOn w:val="5"/>
    <w:next w:val="10"/>
    <w:qFormat/>
    <w:uiPriority w:val="0"/>
    <w:pPr>
      <w:widowControl w:val="0"/>
      <w:spacing w:before="0" w:beforeLines="0" w:after="0" w:afterLines="0" w:line="365" w:lineRule="atLeast"/>
      <w:ind w:left="420" w:leftChars="200" w:right="0" w:firstLine="420" w:firstLineChars="200"/>
      <w:jc w:val="both"/>
      <w:textAlignment w:val="bottom"/>
    </w:pPr>
    <w:rPr>
      <w:rFonts w:asciiTheme="minorHAnsi" w:hAnsiTheme="minorHAnsi" w:eastAsiaTheme="minorEastAsia" w:cstheme="minorBidi"/>
      <w:sz w:val="21"/>
      <w:szCs w:val="22"/>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p0"/>
    <w:qFormat/>
    <w:uiPriority w:val="0"/>
    <w:pPr>
      <w:widowControl/>
      <w:spacing w:before="0" w:beforeLines="0" w:after="0" w:afterLines="0" w:line="408" w:lineRule="auto"/>
      <w:ind w:left="1" w:right="0" w:firstLine="0" w:firstLineChars="0"/>
      <w:jc w:val="both"/>
      <w:textAlignment w:val="bottom"/>
    </w:pPr>
    <w:rPr>
      <w:rFonts w:asciiTheme="minorHAnsi" w:hAnsiTheme="minorHAnsi" w:eastAsiaTheme="minorEastAsia" w:cstheme="minorBidi"/>
      <w:color w:val="000000"/>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2019-11-11T05:45:00Z</dcterms:created>
  <dc:creator>BGS</dc:creator>
  <cp:lastModifiedBy>大路朝天</cp:lastModifiedBy>
  <cp:lastPrinted>2022-01-13T07:22:09Z</cp:lastPrinted>
  <dcterms:modified xsi:type="dcterms:W3CDTF">2022-01-13T07:23:43Z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EFEE75F8BA1D4337985895585A0BC0DD</vt:lpwstr>
  </property>
  <property fmtid="{D5CDD505-2E9C-101B-9397-08002B2CF9AE}" pid="4" name="KSOSaveFontToCloudKey">
    <vt:lpwstr>257113695_btnclosed</vt:lpwstr>
  </property>
</Properties>
</file>