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89" w:rsidRDefault="00890427">
      <w:pPr>
        <w:pStyle w:val="1"/>
        <w:jc w:val="center"/>
      </w:pPr>
      <w:r>
        <w:rPr>
          <w:rFonts w:hint="eastAsia"/>
        </w:rPr>
        <w:t>卢氏县劳动保障监察大队</w:t>
      </w:r>
      <w:r>
        <w:rPr>
          <w:rFonts w:hint="eastAsia"/>
        </w:rPr>
        <w:t>2018</w:t>
      </w:r>
      <w:r>
        <w:rPr>
          <w:rFonts w:hint="eastAsia"/>
        </w:rPr>
        <w:t>年度部门</w:t>
      </w:r>
    </w:p>
    <w:p w:rsidR="00427CFD" w:rsidRDefault="00890427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预算公开情况说明</w:t>
      </w:r>
    </w:p>
    <w:p w:rsidR="00427CFD" w:rsidRDefault="00427CFD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427CFD" w:rsidRDefault="00890427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427CFD" w:rsidRDefault="00890427" w:rsidP="00845B78">
      <w:pPr>
        <w:ind w:firstLineChars="200" w:firstLine="64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卢氏县劳动保障监察大队</w:t>
      </w:r>
      <w:r w:rsidR="00845B7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是卢氏县人力资源和社会保障局所属事业单位，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内设0个职能科室，共有编制5人，其中：行政编制0人，事业编制5人；在职人员4人，离退休人员</w:t>
      </w:r>
      <w:r w:rsidR="00845B7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>
        <w:rPr>
          <w:rFonts w:ascii="仿宋" w:eastAsia="仿宋" w:hAnsi="仿宋" w:hint="eastAsia"/>
          <w:sz w:val="32"/>
          <w:szCs w:val="32"/>
        </w:rPr>
        <w:t>贯彻落实劳动保障法律法规及相关政策；监督检查各类用人单位劳动保障法律、法规的执行情况，服务县委、县政府工作大局，促进全县经济发展和社会稳定。</w:t>
      </w:r>
    </w:p>
    <w:p w:rsidR="00427CFD" w:rsidRDefault="00890427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427CFD" w:rsidRDefault="00890427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卢氏县劳动保障监察大队2018年一般公共预算收支预算31.80万元。与 2017 </w:t>
      </w:r>
      <w:r w:rsidR="007E45D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减少8.33万元，减少20.76%。</w:t>
      </w:r>
    </w:p>
    <w:p w:rsidR="00427CFD" w:rsidRDefault="00890427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劳动保障监察大队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2018年收入合计31.80万元，其中：一般公共预算31.80万元; 政府性基金0万元，其他收入0万元 。</w:t>
      </w:r>
    </w:p>
    <w:p w:rsidR="00427CFD" w:rsidRDefault="00890427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劳动保障监察大队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2018年支出合计31.80万元，其中：基本支出26.80万元，占84.28%；项目支出5.00万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元，占15.72%。</w:t>
      </w:r>
    </w:p>
    <w:p w:rsidR="00427CFD" w:rsidRDefault="008904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427CFD" w:rsidRDefault="00890427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劳动保障监察大队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2018年收入总计31.80万元，支出总计31.80万元，与2017年相比，收、支总计各减少8.33万元，减少20.76%。主要原因：基本支出较上年减少8.33万元，主要原因</w:t>
      </w:r>
      <w:r w:rsidR="00FC1C6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一是机关事业单位养老保险改革，退休人员工资由养老保险中心发放，2018年没有安排退休人员工资预算，基本支出相应减少；二是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人员减少。项目支出较上年增加（或减少）0万元，增加(或减少)0%。</w:t>
      </w:r>
    </w:p>
    <w:p w:rsidR="00427CFD" w:rsidRDefault="008904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劳动保障监察大队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 31.80 万元。主要用于以下方面：</w:t>
      </w:r>
      <w:r w:rsidR="006764C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一般公共服务支出25.02万元，占78.7%。社会保障和就业支出3.52万元，占 11.1%，医疗卫生支出1.14万元，占3.5%。</w:t>
      </w:r>
      <w:r w:rsidR="00AC52C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住房保障支出2.12万元，占6.6%</w:t>
      </w:r>
      <w:r w:rsidR="00FC1C6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427CFD" w:rsidRDefault="008904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劳动保障监察大队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2018年一般公共预算基本支出26.80万元，其中：人员经费25.28 万元，主要包括：（基本工资、津贴补贴、奖金、社会保障缴费、伙食补助费、绩效工资、其他工资福利支出、离休费、退休费、退职（役）费、抚恤金、生活补助、 医疗费、助学金、奖励金、住房公积金、提租补贴、购房补贴、其他对个人和家庭的补助支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出）；机关运行经费：1.52万元，主要包括：（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）。</w:t>
      </w:r>
    </w:p>
    <w:p w:rsidR="00427CFD" w:rsidRDefault="008904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427CFD" w:rsidRDefault="00890427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劳动保障监察大队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427CFD" w:rsidRDefault="00890427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七、“三公”经费支出预算情况及增减变化原因说明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劳动保障监察大队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2018年“三公”经费预算为0.21万元。2018年“三公”经费支出预算数比 2017年预算数减少2.09万元。具体支出情况如下：</w:t>
      </w:r>
    </w:p>
    <w:p w:rsidR="00427CFD" w:rsidRDefault="00890427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427CFD" w:rsidRDefault="00890427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0万元，其中，公务用车购置费0万元；公务用车运行维护费0万元，主要用于开展工作所需公务用车的燃料费、维修费、过路过桥费、保险费、安全奖励费用等支出。公务用车购置费预算数预算数比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年减少0万元。公务用车运行维护费预算数比 2017年减少2</w:t>
      </w:r>
      <w:r w:rsidR="00FC1C6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万元，主要原因是因实行公车改革，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</w:t>
      </w:r>
      <w:r w:rsidR="00FC1C6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没有公务用车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（三）公务接待费0.21万元，主要用于按规定开支的各类公务接待（含外宾接待）支出。预算数和2017年减少0.09万元。主要原因：</w:t>
      </w:r>
      <w:r w:rsidR="00FC1C6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厉行节约，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严格控制公务接待。</w:t>
      </w:r>
    </w:p>
    <w:p w:rsidR="00427CFD" w:rsidRDefault="00890427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2018年无政府采购，具体事项：无。</w:t>
      </w:r>
    </w:p>
    <w:p w:rsidR="00427CFD" w:rsidRDefault="00890427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427CFD" w:rsidRDefault="00890427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（六）项目支出：是指在基本支出之外，为完成特定的行政工作任务或事业发展目标所发生的支出。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427CFD" w:rsidRDefault="00890427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427CFD" w:rsidRDefault="0089042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按照本单位2018年部门预算项目支出内容涉及的重大项目适当填报。卢氏县劳动保障监察大队无重大项目。</w:t>
      </w:r>
    </w:p>
    <w:p w:rsidR="00427CFD" w:rsidRDefault="00427CF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427CFD" w:rsidRDefault="00427CF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427CFD" w:rsidRDefault="00890427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附件：卢氏县劳动保障监察大队2018年度部门预算十张表</w:t>
      </w:r>
    </w:p>
    <w:p w:rsidR="00427CFD" w:rsidRDefault="00427CFD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bookmarkStart w:id="0" w:name="_GoBack"/>
      <w:bookmarkEnd w:id="0"/>
    </w:p>
    <w:p w:rsidR="00427CFD" w:rsidRDefault="00427CF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427CFD" w:rsidRDefault="00427CFD">
      <w:pPr>
        <w:spacing w:line="360" w:lineRule="auto"/>
        <w:rPr>
          <w:snapToGrid w:val="0"/>
          <w:kern w:val="16"/>
        </w:rPr>
      </w:pPr>
    </w:p>
    <w:sectPr w:rsidR="00427CFD" w:rsidSect="00427CFD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1C3" w:rsidRDefault="003441C3" w:rsidP="00427CFD">
      <w:r>
        <w:separator/>
      </w:r>
    </w:p>
  </w:endnote>
  <w:endnote w:type="continuationSeparator" w:id="0">
    <w:p w:rsidR="003441C3" w:rsidRDefault="003441C3" w:rsidP="00427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CFD" w:rsidRDefault="00F47C57">
    <w:pPr>
      <w:pStyle w:val="a3"/>
      <w:jc w:val="center"/>
    </w:pPr>
    <w:r>
      <w:fldChar w:fldCharType="begin"/>
    </w:r>
    <w:r w:rsidR="00890427">
      <w:instrText xml:space="preserve"> PAGE   \* MERGEFORMAT </w:instrText>
    </w:r>
    <w:r>
      <w:fldChar w:fldCharType="separate"/>
    </w:r>
    <w:r w:rsidR="00FC1C6B" w:rsidRPr="00FC1C6B">
      <w:rPr>
        <w:noProof/>
        <w:lang w:val="zh-CN"/>
      </w:rPr>
      <w:t>5</w:t>
    </w:r>
    <w:r>
      <w:fldChar w:fldCharType="end"/>
    </w:r>
  </w:p>
  <w:p w:rsidR="00427CFD" w:rsidRDefault="00427C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1C3" w:rsidRDefault="003441C3" w:rsidP="00427CFD">
      <w:r>
        <w:separator/>
      </w:r>
    </w:p>
  </w:footnote>
  <w:footnote w:type="continuationSeparator" w:id="0">
    <w:p w:rsidR="003441C3" w:rsidRDefault="003441C3" w:rsidP="00427C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0D6589"/>
    <w:rsid w:val="00127393"/>
    <w:rsid w:val="001B1D9E"/>
    <w:rsid w:val="002A3879"/>
    <w:rsid w:val="003135C1"/>
    <w:rsid w:val="003441C3"/>
    <w:rsid w:val="00427CFD"/>
    <w:rsid w:val="004A291A"/>
    <w:rsid w:val="004C1756"/>
    <w:rsid w:val="004C7DEE"/>
    <w:rsid w:val="005A3B06"/>
    <w:rsid w:val="0060027D"/>
    <w:rsid w:val="006764CB"/>
    <w:rsid w:val="0072198B"/>
    <w:rsid w:val="007E45DD"/>
    <w:rsid w:val="00845B78"/>
    <w:rsid w:val="00890427"/>
    <w:rsid w:val="009B4036"/>
    <w:rsid w:val="00A76D5C"/>
    <w:rsid w:val="00A8016A"/>
    <w:rsid w:val="00AA0507"/>
    <w:rsid w:val="00AC52CC"/>
    <w:rsid w:val="00C3511B"/>
    <w:rsid w:val="00DD0F76"/>
    <w:rsid w:val="00DF7176"/>
    <w:rsid w:val="00DF7C00"/>
    <w:rsid w:val="00E066E7"/>
    <w:rsid w:val="00E904BD"/>
    <w:rsid w:val="00F47C57"/>
    <w:rsid w:val="00F757B2"/>
    <w:rsid w:val="00F86F2F"/>
    <w:rsid w:val="00FC1C6B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30B7096"/>
    <w:rsid w:val="146E3434"/>
    <w:rsid w:val="16B74BE1"/>
    <w:rsid w:val="173E580F"/>
    <w:rsid w:val="1A4A79F8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3FC040B4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F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427CF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27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27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27CF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27C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367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21</cp:revision>
  <cp:lastPrinted>2018-05-16T01:00:00Z</cp:lastPrinted>
  <dcterms:created xsi:type="dcterms:W3CDTF">2017-05-12T03:33:00Z</dcterms:created>
  <dcterms:modified xsi:type="dcterms:W3CDTF">2018-05-16T01:07:00Z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