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 w:asciiTheme="majorEastAsia" w:hAnsiTheme="majorEastAsia" w:eastAsiaTheme="majorEastAsia" w:cstheme="majorEastAsia"/>
          <w:lang w:eastAsia="zh-CN"/>
        </w:rPr>
        <w:t>财政局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</w:rPr>
        <w:t>（含归口管理独立核算预算单位）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，其中：行政编制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67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拟订全县财税发展战略、规划、政策和改革方案并组织实施,分析预测宏观经济形势,参与制定各项宏观经济政策,提出运用财税政策实施宏观调控和综合平衡社会财力的建议,拟订县与乡（镇）政分配政策,完善鼓励公益事业发展的财税政策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2、承担县级财政收支管理的责任，负责编制年度县级财政预算草案并组织执行;负责编制全县年度财政决算草案，审核、批复部门(单位)的年度预决算。组织制定县级有关经费开支标准、定额；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3、组织政府非税收入的征收和管理工作；管理财政票据；编制、汇总年度县级政府性基金预算。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4、制定全县财政国库管理制度、国库集中收付制度,指导和监督县级国库业务,按规定开展国库现金管理工作;负责制定政府采购制度,编制县级政府采购预算并监督管理。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5、拟订全县基本建设财务制度，承担全县财政投资评审管理工作。　　</w:t>
      </w:r>
    </w:p>
    <w:p>
      <w:pPr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6、执行国家政府债务管理的政策和制度,拟订地方性有关政策、制度,统一管理政府债务,防范财政风险。　</w:t>
      </w:r>
    </w:p>
    <w:p>
      <w:pPr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7、管理全县会计工作,监督和规范会计行为,组织实施国家统一的会计制度。　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1015.99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1019.76万元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相比，一般公共预算收支预算减少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3.77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万元，减少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0.3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1015.99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1015.99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2018年支出合计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1015.99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714.39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70.3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301.6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29.7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1015.99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1015.99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3.77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%。主要原因：基本支出较上年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33.77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：退休人员工资由养老保险所发放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。项目支出较上年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：非税收入增加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30万元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2018年一般公共预算支出年初预算为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1015.99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一般公共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835.34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82.2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社会保障和就业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107.84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10.6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， 医疗卫生与计划生育支出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25.57万元，占2.5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，住房保障支出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47.21万元，占4.6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679.39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648.71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30.68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政府性基金预算拨款安排支出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万元，公务用车运行维护费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万元，主要用于开展工作所需公务用车的燃料费、维修费、过路过桥费、保险费、安全奖励费用等支出。公务用车运行维护费预算数比 2017年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持平。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kern w:val="16"/>
          <w:sz w:val="32"/>
          <w:szCs w:val="32"/>
          <w:lang w:eastAsia="zh-CN"/>
        </w:rPr>
        <w:t>财政局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D1D3BBD"/>
    <w:rsid w:val="1D715489"/>
    <w:rsid w:val="1EC367DE"/>
    <w:rsid w:val="1EEB4653"/>
    <w:rsid w:val="29FB41B0"/>
    <w:rsid w:val="3B211219"/>
    <w:rsid w:val="3DE1031B"/>
    <w:rsid w:val="3FDE28E6"/>
    <w:rsid w:val="41EC3064"/>
    <w:rsid w:val="4B0C686D"/>
    <w:rsid w:val="50156CF0"/>
    <w:rsid w:val="50CF1CB3"/>
    <w:rsid w:val="537A0D0E"/>
    <w:rsid w:val="55EA3F0C"/>
    <w:rsid w:val="57C1184A"/>
    <w:rsid w:val="61097749"/>
    <w:rsid w:val="64B83B79"/>
    <w:rsid w:val="74587801"/>
    <w:rsid w:val="745F7A22"/>
    <w:rsid w:val="748F6B91"/>
    <w:rsid w:val="74FF1DA6"/>
    <w:rsid w:val="785B4DB6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6</TotalTime>
  <ScaleCrop>false</ScaleCrop>
  <LinksUpToDate>false</LinksUpToDate>
  <CharactersWithSpaces>2386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预算股</cp:lastModifiedBy>
  <cp:lastPrinted>2018-05-10T11:25:00Z</cp:lastPrinted>
  <dcterms:modified xsi:type="dcterms:W3CDTF">2018-05-16T00:47:49Z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