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</w:t>
      </w:r>
      <w:r>
        <w:rPr>
          <w:rFonts w:hint="eastAsia"/>
          <w:lang w:eastAsia="zh-CN"/>
        </w:rPr>
        <w:t>县产业集聚区管理委员会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贯彻、落实省、市政府及有关部门对产业集聚区发展、建设、管理的方针、政策；拟定本产业集聚区发展建设规划、方案和具体实施办法。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负责县产业集聚区发展总体规划、控制性详细规划、环境影响评价报告的编制、评审、报批工作。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负责产业集聚区相关基础设施建设的规划和实施，做好已建基础设施的管理和维护。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做好入区建设项目的用地规划和征地协调工作，负责项目具体建设规划与设计的审核和把关。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负责产业集聚区内的生产经营指导，协调解决经营管理中遇到的重大问题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督促、指导区内企业遵纪守法、服从管理，依法、依规收集各种统计资料，并负责汇总上报。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负责协调好县有关职能部门和乡镇的关系，组织好联席办公会议，及时解决产业集聚区建设和发展中存在的跨部门、跨行业重大综合性问题。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承办县委、县政府和上级主管部门交办的其他工作。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16.95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12.95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万元;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79.7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16.95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12.95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16.95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单位人员增加，业务量增加，故单位日常开支增加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因工作需要，单位业务繁忙，在去年基础上有所增加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年一般公共预算支出年初预算为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15.48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10.47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 医疗卫生与计划生育支出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5.03万元，占3.4%，一般公共服务支出117.85万元，占79.73%，住房保障支出9.45万元，占6.4%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117.81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110.66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7.15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开展日常业务，单位有用于租车的费用。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2018年部门预算项目支出内容无涉及的重大项目。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产业集聚区管理委员会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14AC1"/>
    <w:rsid w:val="01214AC1"/>
    <w:rsid w:val="05670395"/>
    <w:rsid w:val="1B95450C"/>
    <w:rsid w:val="3789486F"/>
    <w:rsid w:val="37964D89"/>
    <w:rsid w:val="3EAF3C4B"/>
    <w:rsid w:val="56060D3B"/>
    <w:rsid w:val="613E0723"/>
    <w:rsid w:val="6C107875"/>
    <w:rsid w:val="6D535020"/>
    <w:rsid w:val="783153F5"/>
    <w:rsid w:val="79F0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2018-05-11T03:02:00Z</dcterms:created>
  <dc:creator>same</dc:creator>
  <cp:lastModifiedBy>Administrator</cp:lastModifiedBy>
  <cp:lastPrinted>2018-05-11T08:19:00Z</cp:lastPrinted>
  <dcterms:modified xsi:type="dcterms:W3CDTF">2018-05-15T08:53:18Z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