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wordWrap/>
        <w:topLinePunct w:val="0"/>
        <w:bidi w:val="0"/>
        <w:adjustRightInd w:val="0"/>
        <w:snapToGrid w:val="0"/>
        <w:spacing w:line="600" w:lineRule="exact"/>
        <w:jc w:val="center"/>
        <w:textAlignment w:val="auto"/>
        <w:rPr>
          <w:rFonts w:hint="eastAsia" w:ascii="黑体" w:hAnsi="黑体" w:eastAsia="黑体" w:cs="黑体"/>
          <w:b w:val="0"/>
          <w:bCs w:val="0"/>
          <w:sz w:val="44"/>
          <w:szCs w:val="44"/>
          <w:lang w:eastAsia="zh-CN"/>
        </w:rPr>
      </w:pPr>
      <w:r>
        <w:rPr>
          <w:rFonts w:hint="eastAsia" w:ascii="黑体" w:hAnsi="黑体" w:eastAsia="黑体" w:cs="黑体"/>
          <w:b w:val="0"/>
          <w:bCs w:val="0"/>
          <w:sz w:val="44"/>
          <w:szCs w:val="44"/>
        </w:rPr>
        <w:t>卢氏县总工会201</w:t>
      </w:r>
      <w:r>
        <w:rPr>
          <w:rFonts w:hint="eastAsia" w:ascii="黑体" w:hAnsi="黑体" w:eastAsia="黑体" w:cs="黑体"/>
          <w:b w:val="0"/>
          <w:bCs w:val="0"/>
          <w:sz w:val="44"/>
          <w:szCs w:val="44"/>
          <w:lang w:val="en-US" w:eastAsia="zh-CN"/>
        </w:rPr>
        <w:t>8</w:t>
      </w:r>
      <w:r>
        <w:rPr>
          <w:rFonts w:hint="eastAsia" w:ascii="黑体" w:hAnsi="黑体" w:eastAsia="黑体" w:cs="黑体"/>
          <w:b w:val="0"/>
          <w:bCs w:val="0"/>
          <w:sz w:val="44"/>
          <w:szCs w:val="44"/>
        </w:rPr>
        <w:t>年度部门预算</w:t>
      </w:r>
      <w:r>
        <w:rPr>
          <w:rFonts w:hint="eastAsia" w:ascii="黑体" w:hAnsi="黑体" w:eastAsia="黑体" w:cs="黑体"/>
          <w:b w:val="0"/>
          <w:bCs w:val="0"/>
          <w:sz w:val="44"/>
          <w:szCs w:val="44"/>
          <w:lang w:eastAsia="zh-CN"/>
        </w:rPr>
        <w:t>公开</w:t>
      </w:r>
    </w:p>
    <w:p>
      <w:pPr>
        <w:keepNext w:val="0"/>
        <w:keepLines w:val="0"/>
        <w:pageBreakBefore w:val="0"/>
        <w:widowControl w:val="0"/>
        <w:wordWrap/>
        <w:topLinePunct w:val="0"/>
        <w:bidi w:val="0"/>
        <w:adjustRightInd w:val="0"/>
        <w:snapToGrid w:val="0"/>
        <w:spacing w:line="600" w:lineRule="exact"/>
        <w:jc w:val="center"/>
        <w:textAlignment w:val="auto"/>
        <w:rPr>
          <w:rFonts w:hint="eastAsia" w:ascii="黑体" w:hAnsi="黑体" w:eastAsia="黑体" w:cs="黑体"/>
          <w:b w:val="0"/>
          <w:bCs w:val="0"/>
          <w:sz w:val="44"/>
          <w:szCs w:val="44"/>
        </w:rPr>
      </w:pPr>
      <w:r>
        <w:rPr>
          <w:rFonts w:hint="eastAsia" w:ascii="黑体" w:hAnsi="黑体" w:eastAsia="黑体" w:cs="黑体"/>
          <w:b w:val="0"/>
          <w:bCs w:val="0"/>
          <w:sz w:val="44"/>
          <w:szCs w:val="44"/>
        </w:rPr>
        <w:t>情</w:t>
      </w:r>
      <w:r>
        <w:rPr>
          <w:rFonts w:hint="eastAsia" w:ascii="黑体" w:hAnsi="黑体" w:eastAsia="黑体" w:cs="黑体"/>
          <w:b w:val="0"/>
          <w:bCs w:val="0"/>
          <w:sz w:val="44"/>
          <w:szCs w:val="44"/>
          <w:lang w:val="en-US" w:eastAsia="zh-CN"/>
        </w:rPr>
        <w:t xml:space="preserve">  </w:t>
      </w:r>
      <w:r>
        <w:rPr>
          <w:rFonts w:hint="eastAsia" w:ascii="黑体" w:hAnsi="黑体" w:eastAsia="黑体" w:cs="黑体"/>
          <w:b w:val="0"/>
          <w:bCs w:val="0"/>
          <w:sz w:val="44"/>
          <w:szCs w:val="44"/>
        </w:rPr>
        <w:t>况</w:t>
      </w:r>
      <w:r>
        <w:rPr>
          <w:rFonts w:hint="eastAsia" w:ascii="黑体" w:hAnsi="黑体" w:eastAsia="黑体" w:cs="黑体"/>
          <w:b w:val="0"/>
          <w:bCs w:val="0"/>
          <w:sz w:val="44"/>
          <w:szCs w:val="44"/>
          <w:lang w:val="en-US" w:eastAsia="zh-CN"/>
        </w:rPr>
        <w:t xml:space="preserve">  </w:t>
      </w:r>
      <w:r>
        <w:rPr>
          <w:rFonts w:hint="eastAsia" w:ascii="黑体" w:hAnsi="黑体" w:eastAsia="黑体" w:cs="黑体"/>
          <w:b w:val="0"/>
          <w:bCs w:val="0"/>
          <w:sz w:val="44"/>
          <w:szCs w:val="44"/>
        </w:rPr>
        <w:t>说</w:t>
      </w:r>
      <w:r>
        <w:rPr>
          <w:rFonts w:hint="eastAsia" w:ascii="黑体" w:hAnsi="黑体" w:eastAsia="黑体" w:cs="黑体"/>
          <w:b w:val="0"/>
          <w:bCs w:val="0"/>
          <w:sz w:val="44"/>
          <w:szCs w:val="44"/>
          <w:lang w:val="en-US" w:eastAsia="zh-CN"/>
        </w:rPr>
        <w:t xml:space="preserve">  </w:t>
      </w:r>
      <w:r>
        <w:rPr>
          <w:rFonts w:hint="eastAsia" w:ascii="黑体" w:hAnsi="黑体" w:eastAsia="黑体" w:cs="黑体"/>
          <w:b w:val="0"/>
          <w:bCs w:val="0"/>
          <w:sz w:val="44"/>
          <w:szCs w:val="44"/>
        </w:rPr>
        <w:t>明</w:t>
      </w:r>
    </w:p>
    <w:p>
      <w:pPr>
        <w:keepNext w:val="0"/>
        <w:keepLines w:val="0"/>
        <w:pageBreakBefore w:val="0"/>
        <w:widowControl w:val="0"/>
        <w:wordWrap/>
        <w:topLinePunct w:val="0"/>
        <w:bidi w:val="0"/>
        <w:spacing w:line="600" w:lineRule="exact"/>
        <w:jc w:val="both"/>
        <w:textAlignment w:val="auto"/>
        <w:rPr>
          <w:rFonts w:hint="eastAsia" w:ascii="黑体" w:hAnsi="黑体" w:eastAsia="黑体"/>
          <w:sz w:val="44"/>
          <w:szCs w:val="44"/>
        </w:rPr>
      </w:pPr>
      <w:bookmarkStart w:id="0" w:name="_GoBack"/>
      <w:bookmarkEnd w:id="0"/>
    </w:p>
    <w:p>
      <w:pPr>
        <w:keepNext w:val="0"/>
        <w:keepLines w:val="0"/>
        <w:pageBreakBefore w:val="0"/>
        <w:widowControl w:val="0"/>
        <w:numPr>
          <w:ilvl w:val="0"/>
          <w:numId w:val="1"/>
        </w:numPr>
        <w:wordWrap/>
        <w:topLinePunct w:val="0"/>
        <w:bidi w:val="0"/>
        <w:spacing w:line="600" w:lineRule="exact"/>
        <w:ind w:firstLine="640" w:firstLineChars="200"/>
        <w:textAlignment w:val="auto"/>
        <w:outlineLvl w:val="0"/>
        <w:rPr>
          <w:rFonts w:ascii="黑体" w:hAnsi="黑体" w:eastAsia="黑体" w:cs="黑体"/>
          <w:snapToGrid w:val="0"/>
          <w:kern w:val="16"/>
          <w:sz w:val="32"/>
          <w:szCs w:val="32"/>
        </w:rPr>
      </w:pPr>
      <w:r>
        <w:rPr>
          <w:rFonts w:hint="eastAsia" w:ascii="黑体" w:hAnsi="黑体" w:eastAsia="黑体" w:cs="黑体"/>
          <w:snapToGrid w:val="0"/>
          <w:kern w:val="16"/>
          <w:sz w:val="32"/>
          <w:szCs w:val="32"/>
        </w:rPr>
        <w:t>部门主要职责及机构设置情况</w:t>
      </w:r>
    </w:p>
    <w:p>
      <w:pPr>
        <w:keepNext w:val="0"/>
        <w:keepLines w:val="0"/>
        <w:pageBreakBefore w:val="0"/>
        <w:widowControl w:val="0"/>
        <w:wordWrap/>
        <w:topLinePunct w:val="0"/>
        <w:bidi w:val="0"/>
        <w:spacing w:line="600" w:lineRule="exact"/>
        <w:ind w:left="301"/>
        <w:textAlignment w:val="auto"/>
        <w:rPr>
          <w:rFonts w:ascii="仿宋" w:hAnsi="仿宋" w:eastAsia="仿宋"/>
          <w:b/>
          <w:sz w:val="30"/>
          <w:szCs w:val="30"/>
        </w:rPr>
      </w:pPr>
      <w:r>
        <w:rPr>
          <w:rFonts w:hint="eastAsia" w:ascii="仿宋" w:hAnsi="仿宋" w:eastAsia="仿宋"/>
          <w:b/>
          <w:sz w:val="30"/>
          <w:szCs w:val="30"/>
        </w:rPr>
        <w:t>（一）部门机构设置、职能</w:t>
      </w:r>
    </w:p>
    <w:p>
      <w:pPr>
        <w:keepNext w:val="0"/>
        <w:keepLines w:val="0"/>
        <w:pageBreakBefore w:val="0"/>
        <w:widowControl w:val="0"/>
        <w:wordWrap/>
        <w:topLinePunct w:val="0"/>
        <w:bidi w:val="0"/>
        <w:spacing w:line="600" w:lineRule="exact"/>
        <w:ind w:firstLine="643" w:firstLineChars="200"/>
        <w:textAlignment w:val="auto"/>
        <w:rPr>
          <w:rFonts w:hint="eastAsia" w:ascii="仿宋" w:hAnsi="仿宋" w:eastAsia="仿宋"/>
          <w:sz w:val="32"/>
          <w:szCs w:val="32"/>
        </w:rPr>
      </w:pPr>
      <w:r>
        <w:rPr>
          <w:rFonts w:hint="eastAsia" w:ascii="仿宋" w:hAnsi="仿宋" w:eastAsia="仿宋"/>
          <w:b/>
          <w:sz w:val="32"/>
          <w:szCs w:val="32"/>
        </w:rPr>
        <w:t>部门机构设置：</w:t>
      </w:r>
      <w:r>
        <w:rPr>
          <w:rFonts w:hint="eastAsia" w:ascii="仿宋" w:hAnsi="仿宋" w:eastAsia="仿宋"/>
          <w:sz w:val="32"/>
          <w:szCs w:val="32"/>
        </w:rPr>
        <w:t>卢氏县总工会机关共1室，7部：办公室、财务部、组织部、民管部、宣教部、女工部、生产部、维权部。下属二级机构2个：困难职工帮扶中心、工人俱乐部。</w:t>
      </w:r>
    </w:p>
    <w:p>
      <w:pPr>
        <w:keepNext w:val="0"/>
        <w:keepLines w:val="0"/>
        <w:pageBreakBefore w:val="0"/>
        <w:widowControl w:val="0"/>
        <w:wordWrap/>
        <w:topLinePunct w:val="0"/>
        <w:bidi w:val="0"/>
        <w:spacing w:line="600" w:lineRule="exact"/>
        <w:ind w:firstLine="643" w:firstLineChars="200"/>
        <w:textAlignment w:val="auto"/>
        <w:rPr>
          <w:rFonts w:hint="eastAsia" w:ascii="仿宋" w:hAnsi="仿宋" w:eastAsia="仿宋"/>
          <w:sz w:val="32"/>
          <w:szCs w:val="32"/>
        </w:rPr>
      </w:pPr>
      <w:r>
        <w:rPr>
          <w:rFonts w:hint="eastAsia" w:ascii="仿宋" w:hAnsi="仿宋" w:eastAsia="仿宋"/>
          <w:b/>
          <w:sz w:val="32"/>
          <w:szCs w:val="32"/>
        </w:rPr>
        <w:t>县总工会主要职责是：</w:t>
      </w:r>
      <w:r>
        <w:rPr>
          <w:rFonts w:hint="eastAsia" w:ascii="仿宋" w:hAnsi="仿宋" w:eastAsia="仿宋"/>
          <w:sz w:val="32"/>
          <w:szCs w:val="32"/>
        </w:rPr>
        <w:t>1、根据党的基本理论、基本路线、基本纲领和工运方针，围绕党和国家大局，贯彻执行上级工会和本级工会代表大会确定的方针任务和做出的决议。依照法律和《中国工会章程》的规定，组织和指导各基层工会坚定不移地贯彻、落实党的全心全意依靠工人阶级的根本指导方针，履行维护职能。</w:t>
      </w:r>
    </w:p>
    <w:p>
      <w:pPr>
        <w:keepNext w:val="0"/>
        <w:keepLines w:val="0"/>
        <w:pageBreakBefore w:val="0"/>
        <w:widowControl w:val="0"/>
        <w:wordWrap/>
        <w:topLinePunct w:val="0"/>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2、对有关职工合法权益的重大问题进行调查研究，向县委、县政府和上级工会反映职工群众的思想、愿望和要求，提出意见和建设；参与涉及职工切身利益的政策制度和法规的拟定；参与职工重伤亡事故的调查处理。</w:t>
      </w:r>
    </w:p>
    <w:p>
      <w:pPr>
        <w:keepNext w:val="0"/>
        <w:keepLines w:val="0"/>
        <w:pageBreakBefore w:val="0"/>
        <w:widowControl w:val="0"/>
        <w:wordWrap/>
        <w:topLinePunct w:val="0"/>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3、加强工会基层组织建设，大力推进新建企业工会组建工作；监督检查《中国工会章程》的贯彻执行；指导各级工会组织开展以职工代表大会为基本制度的民主选举、民主决策、民主管理监督，推进建立平等协商，集体合同制度和监督保证机制。</w:t>
      </w:r>
    </w:p>
    <w:p>
      <w:pPr>
        <w:keepNext w:val="0"/>
        <w:keepLines w:val="0"/>
        <w:pageBreakBefore w:val="0"/>
        <w:widowControl w:val="0"/>
        <w:wordWrap/>
        <w:topLinePunct w:val="0"/>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4、参与我县国家级和省、市级劳动模范、“五一”劳动奖章获得者、“五一”劳动奖状获得者的推荐和县劳动模范的评选工作，对全县劳动模范、“五一”劳动奖章、奖状获得人员进行管理。</w:t>
      </w:r>
    </w:p>
    <w:p>
      <w:pPr>
        <w:keepNext w:val="0"/>
        <w:keepLines w:val="0"/>
        <w:pageBreakBefore w:val="0"/>
        <w:widowControl w:val="0"/>
        <w:wordWrap/>
        <w:topLinePunct w:val="0"/>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5、负责全县各基层工会经费的收缴、管理、审计工作；负责指导、协调工会兴办的职工劳动福利事业工作；负责全县系统工会、机关工会、企事业单位工会干部的岗位培训工作。</w:t>
      </w:r>
    </w:p>
    <w:p>
      <w:pPr>
        <w:keepNext w:val="0"/>
        <w:keepLines w:val="0"/>
        <w:pageBreakBefore w:val="0"/>
        <w:widowControl w:val="0"/>
        <w:wordWrap/>
        <w:topLinePunct w:val="0"/>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6、负责指导协调群众生产工作，参与制定我县劳动保护的有关政策并监督执行。</w:t>
      </w:r>
    </w:p>
    <w:p>
      <w:pPr>
        <w:keepNext w:val="0"/>
        <w:keepLines w:val="0"/>
        <w:pageBreakBefore w:val="0"/>
        <w:widowControl w:val="0"/>
        <w:wordWrap/>
        <w:topLinePunct w:val="0"/>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rPr>
        <w:t>7、承担县委和上级工会交办的其它事项。</w:t>
      </w:r>
    </w:p>
    <w:p>
      <w:pPr>
        <w:keepNext w:val="0"/>
        <w:keepLines w:val="0"/>
        <w:pageBreakBefore w:val="0"/>
        <w:widowControl w:val="0"/>
        <w:wordWrap/>
        <w:topLinePunct w:val="0"/>
        <w:bidi w:val="0"/>
        <w:spacing w:line="600" w:lineRule="exact"/>
        <w:ind w:firstLine="643" w:firstLineChars="200"/>
        <w:textAlignment w:val="auto"/>
        <w:rPr>
          <w:rFonts w:hint="eastAsia" w:ascii="仿宋" w:hAnsi="仿宋" w:eastAsia="仿宋"/>
          <w:sz w:val="32"/>
          <w:szCs w:val="32"/>
        </w:rPr>
      </w:pPr>
      <w:r>
        <w:rPr>
          <w:rFonts w:hint="eastAsia" w:ascii="仿宋" w:hAnsi="仿宋" w:eastAsia="仿宋"/>
          <w:b/>
          <w:sz w:val="32"/>
          <w:szCs w:val="32"/>
        </w:rPr>
        <w:t>困难职工帮扶中心职责是：</w:t>
      </w:r>
      <w:r>
        <w:rPr>
          <w:rFonts w:hint="eastAsia" w:ascii="仿宋" w:hAnsi="仿宋" w:eastAsia="仿宋"/>
          <w:sz w:val="32"/>
          <w:szCs w:val="32"/>
        </w:rPr>
        <w:t>通过信访接待、政策咨询，不为职工解疑释惑，排忧解难；对下岗失业困难职工进行职业培训、职业介绍，帮助下岗失业困难职工实现再就业；对困难职工进行法律援助，维护其合法权益；对困难职工进行慰问和生活救助。</w:t>
      </w:r>
    </w:p>
    <w:p>
      <w:pPr>
        <w:keepNext w:val="0"/>
        <w:keepLines w:val="0"/>
        <w:pageBreakBefore w:val="0"/>
        <w:widowControl w:val="0"/>
        <w:wordWrap/>
        <w:topLinePunct w:val="0"/>
        <w:bidi w:val="0"/>
        <w:spacing w:line="600" w:lineRule="exact"/>
        <w:ind w:firstLine="643" w:firstLineChars="200"/>
        <w:textAlignment w:val="auto"/>
        <w:rPr>
          <w:rFonts w:hint="eastAsia" w:ascii="仿宋" w:hAnsi="仿宋" w:eastAsia="仿宋"/>
          <w:sz w:val="32"/>
          <w:szCs w:val="32"/>
        </w:rPr>
      </w:pPr>
      <w:r>
        <w:rPr>
          <w:rFonts w:hint="eastAsia" w:ascii="仿宋" w:hAnsi="仿宋" w:eastAsia="仿宋"/>
          <w:b/>
          <w:sz w:val="32"/>
          <w:szCs w:val="32"/>
        </w:rPr>
        <w:t>工人俱乐部的职责是：</w:t>
      </w:r>
      <w:r>
        <w:rPr>
          <w:rFonts w:hint="eastAsia" w:ascii="仿宋" w:hAnsi="仿宋" w:eastAsia="仿宋"/>
          <w:sz w:val="32"/>
          <w:szCs w:val="32"/>
        </w:rPr>
        <w:t>指导全县工会组织开展有益职工身心健康的文化、体育活动；组织举办重大节日期间全县职工文化体育庆祝活动；开展经常性的职工文化娱乐活动，负责工会文化娱乐场馆设施的管理工作。</w:t>
      </w:r>
    </w:p>
    <w:p>
      <w:pPr>
        <w:keepNext w:val="0"/>
        <w:keepLines w:val="0"/>
        <w:pageBreakBefore w:val="0"/>
        <w:widowControl w:val="0"/>
        <w:kinsoku/>
        <w:wordWrap/>
        <w:overflowPunct/>
        <w:topLinePunct w:val="0"/>
        <w:autoSpaceDE/>
        <w:autoSpaceDN/>
        <w:bidi w:val="0"/>
        <w:adjustRightInd/>
        <w:snapToGrid/>
        <w:spacing w:line="600" w:lineRule="exact"/>
        <w:ind w:firstLine="602" w:firstLineChars="200"/>
        <w:textAlignment w:val="auto"/>
        <w:outlineLvl w:val="9"/>
        <w:rPr>
          <w:rFonts w:ascii="仿宋" w:hAnsi="仿宋" w:eastAsia="仿宋"/>
          <w:sz w:val="30"/>
          <w:szCs w:val="30"/>
        </w:rPr>
      </w:pPr>
      <w:r>
        <w:rPr>
          <w:rFonts w:hint="eastAsia" w:ascii="仿宋" w:hAnsi="仿宋" w:eastAsia="仿宋"/>
          <w:b/>
          <w:sz w:val="30"/>
          <w:szCs w:val="30"/>
        </w:rPr>
        <w:t>（二）人员构成情况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outlineLvl w:val="9"/>
        <w:rPr>
          <w:rFonts w:hint="eastAsia" w:ascii="仿宋" w:hAnsi="仿宋" w:eastAsia="仿宋"/>
          <w:sz w:val="32"/>
          <w:szCs w:val="32"/>
        </w:rPr>
      </w:pPr>
      <w:r>
        <w:rPr>
          <w:rFonts w:hint="eastAsia" w:ascii="仿宋" w:hAnsi="仿宋" w:eastAsia="仿宋"/>
          <w:sz w:val="32"/>
          <w:szCs w:val="32"/>
        </w:rPr>
        <w:t>县总工会共有编制16人，其中：行政编制7人，工勤1人，事业编制8人；在职工人员10人，离退休人员12人，遗属1人。</w:t>
      </w:r>
    </w:p>
    <w:p>
      <w:pPr>
        <w:keepNext w:val="0"/>
        <w:keepLines w:val="0"/>
        <w:pageBreakBefore w:val="0"/>
        <w:widowControl w:val="0"/>
        <w:wordWrap/>
        <w:topLinePunct w:val="0"/>
        <w:bidi w:val="0"/>
        <w:spacing w:line="600" w:lineRule="exact"/>
        <w:ind w:firstLine="640" w:firstLineChars="200"/>
        <w:textAlignment w:val="auto"/>
        <w:outlineLvl w:val="0"/>
        <w:rPr>
          <w:rFonts w:ascii="黑体" w:hAnsi="黑体" w:eastAsia="黑体" w:cs="黑体"/>
          <w:snapToGrid w:val="0"/>
          <w:kern w:val="16"/>
          <w:sz w:val="32"/>
          <w:szCs w:val="32"/>
        </w:rPr>
      </w:pPr>
      <w:r>
        <w:rPr>
          <w:rFonts w:hint="eastAsia" w:ascii="黑体" w:hAnsi="黑体" w:eastAsia="黑体" w:cs="黑体"/>
          <w:snapToGrid w:val="0"/>
          <w:kern w:val="16"/>
          <w:sz w:val="32"/>
          <w:szCs w:val="32"/>
        </w:rPr>
        <w:t>二、本级预算和所属单位预算在内的汇总预算情况</w:t>
      </w:r>
    </w:p>
    <w:p>
      <w:pPr>
        <w:keepNext w:val="0"/>
        <w:keepLines w:val="0"/>
        <w:pageBreakBefore w:val="0"/>
        <w:widowControl w:val="0"/>
        <w:wordWrap/>
        <w:topLinePunct w:val="0"/>
        <w:bidi w:val="0"/>
        <w:adjustRightInd w:val="0"/>
        <w:snapToGrid w:val="0"/>
        <w:spacing w:line="600" w:lineRule="exact"/>
        <w:ind w:firstLine="640" w:firstLineChars="200"/>
        <w:textAlignment w:val="auto"/>
        <w:outlineLvl w:val="0"/>
        <w:rPr>
          <w:rFonts w:hint="eastAsia" w:ascii="仿宋" w:hAnsi="仿宋" w:eastAsia="仿宋" w:cs="仿宋"/>
          <w:sz w:val="32"/>
          <w:szCs w:val="32"/>
          <w:lang w:val="en-US" w:eastAsia="zh-CN"/>
        </w:rPr>
      </w:pPr>
      <w:r>
        <w:rPr>
          <w:rFonts w:hint="eastAsia" w:ascii="仿宋" w:hAnsi="仿宋" w:eastAsia="仿宋" w:cs="仿宋"/>
          <w:sz w:val="32"/>
          <w:szCs w:val="32"/>
          <w:lang w:eastAsia="zh-CN"/>
        </w:rPr>
        <w:t>卢氏县总工会</w:t>
      </w:r>
      <w:r>
        <w:rPr>
          <w:rFonts w:hint="eastAsia" w:ascii="仿宋" w:hAnsi="仿宋" w:eastAsia="仿宋" w:cs="仿宋"/>
          <w:sz w:val="32"/>
          <w:szCs w:val="32"/>
          <w:lang w:val="en-US" w:eastAsia="zh-CN"/>
        </w:rPr>
        <w:t>2018年一般公共预算收支预算61.49万元。与2017年相比，一般公共预算收支预算减少36.9万元，减少37.5%。</w:t>
      </w:r>
    </w:p>
    <w:p>
      <w:pPr>
        <w:keepNext w:val="0"/>
        <w:keepLines w:val="0"/>
        <w:pageBreakBefore w:val="0"/>
        <w:widowControl w:val="0"/>
        <w:wordWrap/>
        <w:topLinePunct w:val="0"/>
        <w:bidi w:val="0"/>
        <w:spacing w:line="600" w:lineRule="exact"/>
        <w:ind w:firstLine="321" w:firstLineChars="100"/>
        <w:textAlignment w:val="auto"/>
        <w:outlineLvl w:val="0"/>
        <w:rPr>
          <w:rFonts w:ascii="楷体" w:hAnsi="楷体" w:eastAsia="楷体" w:cs="楷体"/>
          <w:b/>
          <w:bCs/>
          <w:snapToGrid w:val="0"/>
          <w:kern w:val="16"/>
          <w:sz w:val="32"/>
          <w:szCs w:val="32"/>
        </w:rPr>
      </w:pPr>
      <w:r>
        <w:rPr>
          <w:rFonts w:hint="eastAsia" w:ascii="楷体" w:hAnsi="楷体" w:eastAsia="楷体" w:cs="楷体"/>
          <w:b/>
          <w:bCs/>
          <w:snapToGrid w:val="0"/>
          <w:kern w:val="16"/>
          <w:sz w:val="32"/>
          <w:szCs w:val="32"/>
        </w:rPr>
        <w:t>（一）收入预算总体情况说明</w:t>
      </w:r>
    </w:p>
    <w:p>
      <w:pPr>
        <w:keepNext w:val="0"/>
        <w:keepLines w:val="0"/>
        <w:pageBreakBefore w:val="0"/>
        <w:widowControl w:val="0"/>
        <w:wordWrap/>
        <w:topLinePunct w:val="0"/>
        <w:bidi w:val="0"/>
        <w:adjustRightInd w:val="0"/>
        <w:snapToGrid w:val="0"/>
        <w:spacing w:line="600" w:lineRule="exact"/>
        <w:ind w:firstLine="640" w:firstLineChars="200"/>
        <w:textAlignment w:val="auto"/>
        <w:rPr>
          <w:rFonts w:ascii="仿宋_GB2312" w:hAnsi="宋体" w:eastAsia="仿宋_GB2312" w:cs="Courier New"/>
          <w:sz w:val="32"/>
          <w:szCs w:val="32"/>
        </w:rPr>
      </w:pPr>
      <w:r>
        <w:rPr>
          <w:rFonts w:hint="eastAsia" w:ascii="仿宋" w:hAnsi="仿宋" w:eastAsia="仿宋" w:cs="仿宋"/>
          <w:sz w:val="32"/>
          <w:szCs w:val="32"/>
        </w:rPr>
        <w:t>卢氏县总工会</w:t>
      </w:r>
      <w:r>
        <w:rPr>
          <w:rFonts w:hint="eastAsia" w:ascii="仿宋_GB2312" w:hAnsi="宋体" w:eastAsia="仿宋_GB2312" w:cs="Courier New"/>
          <w:sz w:val="32"/>
          <w:szCs w:val="32"/>
        </w:rPr>
        <w:t>201</w:t>
      </w:r>
      <w:r>
        <w:rPr>
          <w:rFonts w:hint="eastAsia" w:ascii="仿宋_GB2312" w:hAnsi="宋体" w:eastAsia="仿宋_GB2312" w:cs="Courier New"/>
          <w:sz w:val="32"/>
          <w:szCs w:val="32"/>
          <w:lang w:val="en-US" w:eastAsia="zh-CN"/>
        </w:rPr>
        <w:t>8</w:t>
      </w:r>
      <w:r>
        <w:rPr>
          <w:rFonts w:hint="eastAsia" w:ascii="仿宋_GB2312" w:hAnsi="宋体" w:eastAsia="仿宋_GB2312" w:cs="Courier New"/>
          <w:sz w:val="32"/>
          <w:szCs w:val="32"/>
        </w:rPr>
        <w:t>年收入</w:t>
      </w:r>
      <w:r>
        <w:rPr>
          <w:rFonts w:hint="eastAsia" w:ascii="仿宋_GB2312" w:hAnsi="宋体" w:eastAsia="仿宋_GB2312" w:cs="Courier New"/>
          <w:sz w:val="32"/>
          <w:szCs w:val="32"/>
          <w:lang w:eastAsia="zh-CN"/>
        </w:rPr>
        <w:t>合计：</w:t>
      </w:r>
      <w:r>
        <w:rPr>
          <w:rFonts w:hint="eastAsia" w:ascii="仿宋_GB2312" w:hAnsi="宋体" w:eastAsia="仿宋_GB2312" w:cs="Courier New"/>
          <w:sz w:val="32"/>
          <w:szCs w:val="32"/>
          <w:lang w:val="en-US" w:eastAsia="zh-CN"/>
        </w:rPr>
        <w:t>61.49</w:t>
      </w:r>
      <w:r>
        <w:rPr>
          <w:rFonts w:hint="eastAsia" w:ascii="仿宋_GB2312" w:hAnsi="宋体" w:eastAsia="仿宋_GB2312" w:cs="Courier New"/>
          <w:sz w:val="32"/>
          <w:szCs w:val="32"/>
        </w:rPr>
        <w:t>万元，</w:t>
      </w:r>
      <w:r>
        <w:rPr>
          <w:rFonts w:hint="eastAsia" w:ascii="仿宋_GB2312" w:hAnsi="宋体" w:eastAsia="仿宋_GB2312" w:cs="Courier New"/>
          <w:sz w:val="32"/>
          <w:szCs w:val="32"/>
          <w:lang w:eastAsia="zh-CN"/>
        </w:rPr>
        <w:t>其中：一般公共预算</w:t>
      </w:r>
      <w:r>
        <w:rPr>
          <w:rFonts w:hint="eastAsia" w:ascii="仿宋_GB2312" w:hAnsi="宋体" w:eastAsia="仿宋_GB2312" w:cs="Courier New"/>
          <w:sz w:val="32"/>
          <w:szCs w:val="32"/>
          <w:lang w:val="en-US" w:eastAsia="zh-CN"/>
        </w:rPr>
        <w:t>61.49万元，政府性基金0万元，其他收入0万元。</w:t>
      </w:r>
    </w:p>
    <w:p>
      <w:pPr>
        <w:keepNext w:val="0"/>
        <w:keepLines w:val="0"/>
        <w:pageBreakBefore w:val="0"/>
        <w:widowControl w:val="0"/>
        <w:wordWrap/>
        <w:topLinePunct w:val="0"/>
        <w:bidi w:val="0"/>
        <w:spacing w:line="600" w:lineRule="exact"/>
        <w:ind w:firstLine="321" w:firstLineChars="100"/>
        <w:textAlignment w:val="auto"/>
        <w:outlineLvl w:val="0"/>
        <w:rPr>
          <w:rFonts w:ascii="楷体" w:hAnsi="楷体" w:eastAsia="楷体" w:cs="楷体"/>
          <w:b/>
          <w:bCs/>
          <w:snapToGrid w:val="0"/>
          <w:kern w:val="16"/>
          <w:sz w:val="32"/>
          <w:szCs w:val="32"/>
        </w:rPr>
      </w:pPr>
      <w:r>
        <w:rPr>
          <w:rFonts w:hint="eastAsia" w:ascii="楷体" w:hAnsi="楷体" w:eastAsia="楷体" w:cs="楷体"/>
          <w:b/>
          <w:bCs/>
          <w:snapToGrid w:val="0"/>
          <w:kern w:val="16"/>
          <w:sz w:val="32"/>
          <w:szCs w:val="32"/>
        </w:rPr>
        <w:t>（二）支出预算总体情况说明</w:t>
      </w:r>
    </w:p>
    <w:p>
      <w:pPr>
        <w:keepNext w:val="0"/>
        <w:keepLines w:val="0"/>
        <w:pageBreakBefore w:val="0"/>
        <w:widowControl w:val="0"/>
        <w:wordWrap/>
        <w:topLinePunct w:val="0"/>
        <w:bidi w:val="0"/>
        <w:spacing w:line="600" w:lineRule="exact"/>
        <w:ind w:firstLine="640" w:firstLineChars="200"/>
        <w:textAlignment w:val="auto"/>
        <w:rPr>
          <w:rFonts w:ascii="仿宋_GB2312" w:eastAsia="仿宋_GB2312"/>
          <w:sz w:val="32"/>
          <w:szCs w:val="32"/>
        </w:rPr>
      </w:pPr>
      <w:r>
        <w:rPr>
          <w:rFonts w:hint="eastAsia" w:ascii="仿宋" w:hAnsi="仿宋" w:eastAsia="仿宋" w:cs="仿宋"/>
          <w:sz w:val="32"/>
          <w:szCs w:val="32"/>
        </w:rPr>
        <w:t>卢氏县总工会</w:t>
      </w:r>
      <w:r>
        <w:rPr>
          <w:rFonts w:hint="eastAsia" w:ascii="仿宋_GB2312" w:hAnsi="宋体" w:eastAsia="仿宋_GB2312" w:cs="Courier New"/>
          <w:sz w:val="32"/>
          <w:szCs w:val="32"/>
        </w:rPr>
        <w:t>201</w:t>
      </w:r>
      <w:r>
        <w:rPr>
          <w:rFonts w:hint="eastAsia" w:ascii="仿宋_GB2312" w:hAnsi="宋体" w:eastAsia="仿宋_GB2312" w:cs="Courier New"/>
          <w:sz w:val="32"/>
          <w:szCs w:val="32"/>
          <w:lang w:val="en-US" w:eastAsia="zh-CN"/>
        </w:rPr>
        <w:t>8</w:t>
      </w:r>
      <w:r>
        <w:rPr>
          <w:rFonts w:hint="eastAsia" w:ascii="仿宋_GB2312" w:hAnsi="宋体" w:eastAsia="仿宋_GB2312" w:cs="Courier New"/>
          <w:sz w:val="32"/>
          <w:szCs w:val="32"/>
        </w:rPr>
        <w:t>年支出合计</w:t>
      </w:r>
      <w:r>
        <w:rPr>
          <w:rFonts w:hint="eastAsia" w:ascii="仿宋_GB2312" w:eastAsia="仿宋_GB2312"/>
          <w:sz w:val="32"/>
          <w:szCs w:val="32"/>
          <w:lang w:val="en-US" w:eastAsia="zh-CN"/>
        </w:rPr>
        <w:t>61.49</w:t>
      </w:r>
      <w:r>
        <w:rPr>
          <w:rFonts w:hint="eastAsia" w:ascii="仿宋_GB2312" w:hAnsi="宋体" w:eastAsia="仿宋_GB2312" w:cs="Courier New"/>
          <w:sz w:val="32"/>
          <w:szCs w:val="32"/>
        </w:rPr>
        <w:t>万元，其中：基本支出</w:t>
      </w:r>
      <w:r>
        <w:rPr>
          <w:rFonts w:hint="eastAsia" w:ascii="仿宋_GB2312" w:hAnsi="宋体" w:eastAsia="仿宋_GB2312" w:cs="Courier New"/>
          <w:sz w:val="32"/>
          <w:szCs w:val="32"/>
          <w:lang w:val="en-US" w:eastAsia="zh-CN"/>
        </w:rPr>
        <w:t>61.49</w:t>
      </w:r>
      <w:r>
        <w:rPr>
          <w:rFonts w:hint="eastAsia" w:ascii="仿宋_GB2312" w:hAnsi="宋体" w:eastAsia="仿宋_GB2312" w:cs="Courier New"/>
          <w:sz w:val="32"/>
          <w:szCs w:val="32"/>
        </w:rPr>
        <w:t>万元，占</w:t>
      </w:r>
      <w:r>
        <w:rPr>
          <w:rFonts w:hint="eastAsia" w:ascii="仿宋_GB2312" w:eastAsia="仿宋_GB2312"/>
          <w:sz w:val="32"/>
          <w:szCs w:val="32"/>
        </w:rPr>
        <w:t xml:space="preserve">100 </w:t>
      </w:r>
      <w:r>
        <w:rPr>
          <w:rFonts w:ascii="仿宋_GB2312" w:hAnsi="宋体" w:eastAsia="仿宋_GB2312" w:cs="Courier New"/>
          <w:sz w:val="32"/>
          <w:szCs w:val="32"/>
        </w:rPr>
        <w:t>%</w:t>
      </w:r>
      <w:r>
        <w:rPr>
          <w:rFonts w:hint="eastAsia" w:ascii="仿宋_GB2312" w:hAnsi="宋体" w:eastAsia="仿宋_GB2312" w:cs="Courier New"/>
          <w:sz w:val="32"/>
          <w:szCs w:val="32"/>
        </w:rPr>
        <w:t>；项目支出</w:t>
      </w:r>
      <w:r>
        <w:rPr>
          <w:rFonts w:hint="eastAsia" w:ascii="仿宋_GB2312" w:eastAsia="仿宋_GB2312"/>
          <w:sz w:val="32"/>
          <w:szCs w:val="32"/>
        </w:rPr>
        <w:t>0</w:t>
      </w:r>
      <w:r>
        <w:rPr>
          <w:rFonts w:hint="eastAsia" w:ascii="仿宋_GB2312" w:hAnsi="宋体" w:eastAsia="仿宋_GB2312" w:cs="Courier New"/>
          <w:sz w:val="32"/>
          <w:szCs w:val="32"/>
        </w:rPr>
        <w:t>万元。</w:t>
      </w:r>
    </w:p>
    <w:p>
      <w:pPr>
        <w:keepNext w:val="0"/>
        <w:keepLines w:val="0"/>
        <w:pageBreakBefore w:val="0"/>
        <w:widowControl w:val="0"/>
        <w:numPr>
          <w:ilvl w:val="0"/>
          <w:numId w:val="1"/>
        </w:numPr>
        <w:wordWrap/>
        <w:topLinePunct w:val="0"/>
        <w:bidi w:val="0"/>
        <w:spacing w:line="600" w:lineRule="exact"/>
        <w:ind w:left="0" w:leftChars="0" w:firstLine="640" w:firstLineChars="200"/>
        <w:textAlignment w:val="auto"/>
        <w:rPr>
          <w:rFonts w:hint="eastAsia" w:ascii="黑体" w:hAnsi="黑体" w:eastAsia="黑体"/>
          <w:snapToGrid w:val="0"/>
          <w:kern w:val="16"/>
          <w:sz w:val="32"/>
          <w:szCs w:val="32"/>
        </w:rPr>
      </w:pPr>
      <w:r>
        <w:rPr>
          <w:rFonts w:hint="eastAsia" w:ascii="黑体" w:hAnsi="黑体" w:eastAsia="黑体"/>
          <w:snapToGrid w:val="0"/>
          <w:kern w:val="16"/>
          <w:sz w:val="32"/>
          <w:szCs w:val="32"/>
        </w:rPr>
        <w:t>预算收支增减变化情况说明</w:t>
      </w:r>
    </w:p>
    <w:p>
      <w:pPr>
        <w:keepNext w:val="0"/>
        <w:keepLines w:val="0"/>
        <w:pageBreakBefore w:val="0"/>
        <w:widowControl w:val="0"/>
        <w:numPr>
          <w:ilvl w:val="0"/>
          <w:numId w:val="0"/>
        </w:numPr>
        <w:wordWrap/>
        <w:topLinePunct w:val="0"/>
        <w:bidi w:val="0"/>
        <w:spacing w:line="600" w:lineRule="exact"/>
        <w:ind w:leftChars="200"/>
        <w:textAlignment w:val="auto"/>
        <w:rPr>
          <w:rFonts w:hint="eastAsia" w:ascii="仿宋_GB2312" w:eastAsia="仿宋_GB2312"/>
          <w:sz w:val="32"/>
          <w:szCs w:val="32"/>
          <w:lang w:val="en-US" w:eastAsia="zh-CN"/>
        </w:rPr>
      </w:pPr>
      <w:r>
        <w:rPr>
          <w:rFonts w:hint="eastAsia" w:ascii="仿宋" w:hAnsi="仿宋" w:eastAsia="仿宋" w:cs="仿宋"/>
          <w:sz w:val="32"/>
          <w:szCs w:val="32"/>
        </w:rPr>
        <w:t>卢氏县总工会</w:t>
      </w:r>
      <w:r>
        <w:rPr>
          <w:rFonts w:ascii="仿宋_GB2312" w:hAnsi="宋体" w:eastAsia="仿宋_GB2312" w:cs="Courier New"/>
          <w:sz w:val="32"/>
          <w:szCs w:val="32"/>
        </w:rPr>
        <w:t>201</w:t>
      </w:r>
      <w:r>
        <w:rPr>
          <w:rFonts w:hint="eastAsia" w:ascii="仿宋_GB2312" w:hAnsi="宋体" w:eastAsia="仿宋_GB2312" w:cs="Courier New"/>
          <w:sz w:val="32"/>
          <w:szCs w:val="32"/>
          <w:lang w:val="en-US" w:eastAsia="zh-CN"/>
        </w:rPr>
        <w:t>8</w:t>
      </w:r>
      <w:r>
        <w:rPr>
          <w:rFonts w:hint="eastAsia" w:ascii="仿宋_GB2312" w:hAnsi="宋体" w:eastAsia="仿宋_GB2312" w:cs="Courier New"/>
          <w:sz w:val="32"/>
          <w:szCs w:val="32"/>
        </w:rPr>
        <w:t>年</w:t>
      </w:r>
      <w:r>
        <w:rPr>
          <w:rFonts w:hint="eastAsia" w:ascii="仿宋_GB2312" w:hAnsi="宋体" w:eastAsia="仿宋_GB2312" w:cs="Courier New"/>
          <w:sz w:val="32"/>
          <w:szCs w:val="32"/>
          <w:lang w:eastAsia="zh-CN"/>
        </w:rPr>
        <w:t>收入总计</w:t>
      </w:r>
      <w:r>
        <w:rPr>
          <w:rFonts w:hint="eastAsia" w:ascii="仿宋_GB2312" w:hAnsi="宋体" w:eastAsia="仿宋_GB2312" w:cs="Courier New"/>
          <w:sz w:val="32"/>
          <w:szCs w:val="32"/>
          <w:lang w:val="en-US" w:eastAsia="zh-CN"/>
        </w:rPr>
        <w:t>61.49</w:t>
      </w:r>
      <w:r>
        <w:rPr>
          <w:rFonts w:hint="eastAsia" w:ascii="仿宋_GB2312" w:hAnsi="宋体" w:eastAsia="仿宋_GB2312" w:cs="Courier New"/>
          <w:sz w:val="32"/>
          <w:szCs w:val="32"/>
        </w:rPr>
        <w:t>万元</w:t>
      </w:r>
      <w:r>
        <w:rPr>
          <w:rFonts w:hint="eastAsia" w:ascii="仿宋_GB2312" w:hAnsi="宋体" w:eastAsia="仿宋_GB2312" w:cs="Courier New"/>
          <w:sz w:val="32"/>
          <w:szCs w:val="32"/>
          <w:lang w:eastAsia="zh-CN"/>
        </w:rPr>
        <w:t>，支出总计</w:t>
      </w:r>
      <w:r>
        <w:rPr>
          <w:rFonts w:hint="eastAsia" w:ascii="仿宋_GB2312" w:hAnsi="宋体" w:eastAsia="仿宋_GB2312" w:cs="Courier New"/>
          <w:sz w:val="32"/>
          <w:szCs w:val="32"/>
          <w:lang w:val="en-US" w:eastAsia="zh-CN"/>
        </w:rPr>
        <w:t>61.49万元，与2017年相比，收、支总计各减少36.9万元，减少37.5%。主要原因：基本支出较上年减少36.9万元。</w:t>
      </w:r>
    </w:p>
    <w:p>
      <w:pPr>
        <w:keepNext w:val="0"/>
        <w:keepLines w:val="0"/>
        <w:pageBreakBefore w:val="0"/>
        <w:widowControl w:val="0"/>
        <w:wordWrap/>
        <w:topLinePunct w:val="0"/>
        <w:bidi w:val="0"/>
        <w:spacing w:line="600" w:lineRule="exact"/>
        <w:ind w:firstLine="640" w:firstLineChars="200"/>
        <w:textAlignment w:val="auto"/>
        <w:outlineLvl w:val="0"/>
        <w:rPr>
          <w:rFonts w:ascii="仿宋_GB2312" w:eastAsia="仿宋_GB2312"/>
          <w:snapToGrid w:val="0"/>
          <w:kern w:val="16"/>
          <w:sz w:val="32"/>
          <w:szCs w:val="32"/>
        </w:rPr>
      </w:pPr>
      <w:r>
        <w:rPr>
          <w:rFonts w:hint="eastAsia" w:ascii="黑体" w:hAnsi="黑体" w:eastAsia="黑体"/>
          <w:snapToGrid w:val="0"/>
          <w:kern w:val="16"/>
          <w:sz w:val="32"/>
          <w:szCs w:val="32"/>
        </w:rPr>
        <w:t>四、一般公共预算支出预算情况说明</w:t>
      </w:r>
    </w:p>
    <w:p>
      <w:pPr>
        <w:keepNext w:val="0"/>
        <w:keepLines w:val="0"/>
        <w:pageBreakBefore w:val="0"/>
        <w:widowControl w:val="0"/>
        <w:wordWrap/>
        <w:topLinePunct w:val="0"/>
        <w:bidi w:val="0"/>
        <w:spacing w:line="600" w:lineRule="exact"/>
        <w:ind w:firstLine="640" w:firstLineChars="200"/>
        <w:textAlignment w:val="auto"/>
        <w:rPr>
          <w:rFonts w:ascii="仿宋_GB2312" w:eastAsia="仿宋_GB2312"/>
          <w:sz w:val="32"/>
          <w:szCs w:val="32"/>
        </w:rPr>
      </w:pPr>
      <w:r>
        <w:rPr>
          <w:rFonts w:hint="eastAsia" w:ascii="仿宋" w:hAnsi="仿宋" w:eastAsia="仿宋" w:cs="仿宋"/>
          <w:sz w:val="32"/>
          <w:szCs w:val="32"/>
        </w:rPr>
        <w:t>卢氏县总工会</w:t>
      </w:r>
      <w:r>
        <w:rPr>
          <w:rFonts w:ascii="仿宋_GB2312" w:hAnsi="宋体" w:eastAsia="仿宋_GB2312" w:cs="Courier New"/>
          <w:sz w:val="32"/>
          <w:szCs w:val="32"/>
        </w:rPr>
        <w:t>201</w:t>
      </w:r>
      <w:r>
        <w:rPr>
          <w:rFonts w:hint="eastAsia" w:ascii="仿宋_GB2312" w:hAnsi="宋体" w:eastAsia="仿宋_GB2312" w:cs="Courier New"/>
          <w:sz w:val="32"/>
          <w:szCs w:val="32"/>
          <w:lang w:val="en-US" w:eastAsia="zh-CN"/>
        </w:rPr>
        <w:t>8</w:t>
      </w:r>
      <w:r>
        <w:rPr>
          <w:rFonts w:ascii="仿宋_GB2312" w:hAnsi="宋体" w:eastAsia="仿宋_GB2312" w:cs="Courier New"/>
          <w:sz w:val="32"/>
          <w:szCs w:val="32"/>
        </w:rPr>
        <w:t xml:space="preserve"> </w:t>
      </w:r>
      <w:r>
        <w:rPr>
          <w:rFonts w:hint="eastAsia" w:ascii="仿宋_GB2312" w:hAnsi="宋体" w:eastAsia="仿宋_GB2312" w:cs="Courier New"/>
          <w:sz w:val="32"/>
          <w:szCs w:val="32"/>
        </w:rPr>
        <w:t>年一般公共预算支出年初预算为</w:t>
      </w:r>
      <w:r>
        <w:rPr>
          <w:rFonts w:hint="eastAsia" w:ascii="仿宋_GB2312" w:hAnsi="宋体" w:eastAsia="仿宋_GB2312" w:cs="Courier New"/>
          <w:sz w:val="32"/>
          <w:szCs w:val="32"/>
          <w:lang w:val="en-US" w:eastAsia="zh-CN"/>
        </w:rPr>
        <w:t>61.49</w:t>
      </w:r>
      <w:r>
        <w:rPr>
          <w:rFonts w:hint="eastAsia" w:ascii="仿宋_GB2312" w:hAnsi="宋体" w:eastAsia="仿宋_GB2312" w:cs="Courier New"/>
          <w:sz w:val="32"/>
          <w:szCs w:val="32"/>
        </w:rPr>
        <w:t>万元。主要用于以下方面：基本支出</w:t>
      </w:r>
      <w:r>
        <w:rPr>
          <w:rFonts w:hint="eastAsia" w:ascii="仿宋_GB2312" w:hAnsi="宋体" w:eastAsia="仿宋_GB2312" w:cs="Courier New"/>
          <w:sz w:val="32"/>
          <w:szCs w:val="32"/>
          <w:lang w:val="en-US" w:eastAsia="zh-CN"/>
        </w:rPr>
        <w:t>61.49</w:t>
      </w:r>
      <w:r>
        <w:rPr>
          <w:rFonts w:hint="eastAsia" w:ascii="仿宋_GB2312" w:hAnsi="宋体" w:eastAsia="仿宋_GB2312" w:cs="Courier New"/>
          <w:sz w:val="32"/>
          <w:szCs w:val="32"/>
        </w:rPr>
        <w:t>万元，占</w:t>
      </w:r>
      <w:r>
        <w:rPr>
          <w:rFonts w:hint="eastAsia" w:ascii="仿宋_GB2312" w:eastAsia="仿宋_GB2312"/>
          <w:sz w:val="32"/>
          <w:szCs w:val="32"/>
        </w:rPr>
        <w:t xml:space="preserve">100 </w:t>
      </w:r>
      <w:r>
        <w:rPr>
          <w:rFonts w:ascii="仿宋_GB2312" w:hAnsi="宋体" w:eastAsia="仿宋_GB2312" w:cs="Courier New"/>
          <w:sz w:val="32"/>
          <w:szCs w:val="32"/>
        </w:rPr>
        <w:t>%</w:t>
      </w:r>
      <w:r>
        <w:rPr>
          <w:rFonts w:hint="eastAsia" w:ascii="仿宋_GB2312" w:hAnsi="宋体" w:eastAsia="仿宋_GB2312" w:cs="Courier New"/>
          <w:sz w:val="32"/>
          <w:szCs w:val="32"/>
        </w:rPr>
        <w:t>；项目支出</w:t>
      </w:r>
      <w:r>
        <w:rPr>
          <w:rFonts w:hint="eastAsia" w:ascii="仿宋_GB2312" w:eastAsia="仿宋_GB2312"/>
          <w:sz w:val="32"/>
          <w:szCs w:val="32"/>
        </w:rPr>
        <w:t>0</w:t>
      </w:r>
      <w:r>
        <w:rPr>
          <w:rFonts w:hint="eastAsia" w:ascii="仿宋_GB2312" w:hAnsi="宋体" w:eastAsia="仿宋_GB2312" w:cs="Courier New"/>
          <w:sz w:val="32"/>
          <w:szCs w:val="32"/>
        </w:rPr>
        <w:t>万元。</w:t>
      </w:r>
    </w:p>
    <w:p>
      <w:pPr>
        <w:keepNext w:val="0"/>
        <w:keepLines w:val="0"/>
        <w:pageBreakBefore w:val="0"/>
        <w:widowControl w:val="0"/>
        <w:wordWrap/>
        <w:topLinePunct w:val="0"/>
        <w:bidi w:val="0"/>
        <w:spacing w:line="600" w:lineRule="exact"/>
        <w:ind w:left="160" w:leftChars="76" w:firstLine="480" w:firstLineChars="150"/>
        <w:textAlignment w:val="auto"/>
        <w:rPr>
          <w:rFonts w:hint="eastAsia" w:ascii="仿宋_GB2312" w:eastAsia="仿宋_GB2312"/>
          <w:sz w:val="32"/>
          <w:szCs w:val="32"/>
          <w:lang w:val="en-US" w:eastAsia="zh-CN"/>
        </w:rPr>
      </w:pPr>
    </w:p>
    <w:p>
      <w:pPr>
        <w:keepNext w:val="0"/>
        <w:keepLines w:val="0"/>
        <w:pageBreakBefore w:val="0"/>
        <w:widowControl w:val="0"/>
        <w:wordWrap/>
        <w:topLinePunct w:val="0"/>
        <w:bidi w:val="0"/>
        <w:spacing w:line="600" w:lineRule="exact"/>
        <w:ind w:firstLine="640" w:firstLineChars="200"/>
        <w:textAlignment w:val="auto"/>
        <w:outlineLvl w:val="0"/>
        <w:rPr>
          <w:rFonts w:ascii="仿宋_GB2312" w:eastAsia="仿宋_GB2312"/>
          <w:snapToGrid w:val="0"/>
          <w:kern w:val="16"/>
          <w:sz w:val="32"/>
          <w:szCs w:val="32"/>
        </w:rPr>
      </w:pPr>
      <w:r>
        <w:rPr>
          <w:rFonts w:hint="eastAsia" w:ascii="黑体" w:hAnsi="Times New Roman" w:eastAsia="黑体" w:cs="黑体"/>
          <w:snapToGrid w:val="0"/>
          <w:kern w:val="16"/>
          <w:sz w:val="32"/>
          <w:szCs w:val="32"/>
        </w:rPr>
        <w:t>五、机关运行经费安排情况说明</w:t>
      </w:r>
    </w:p>
    <w:p>
      <w:pPr>
        <w:keepNext w:val="0"/>
        <w:keepLines w:val="0"/>
        <w:pageBreakBefore w:val="0"/>
        <w:widowControl w:val="0"/>
        <w:wordWrap/>
        <w:topLinePunct w:val="0"/>
        <w:bidi w:val="0"/>
        <w:spacing w:line="600" w:lineRule="exact"/>
        <w:ind w:firstLine="602"/>
        <w:textAlignment w:val="auto"/>
        <w:rPr>
          <w:rFonts w:ascii="仿宋" w:hAnsi="仿宋" w:eastAsia="仿宋" w:cs="仿宋"/>
          <w:bCs/>
          <w:snapToGrid w:val="0"/>
          <w:kern w:val="16"/>
          <w:sz w:val="32"/>
          <w:szCs w:val="32"/>
        </w:rPr>
      </w:pPr>
      <w:r>
        <w:rPr>
          <w:rFonts w:hint="eastAsia" w:ascii="仿宋" w:hAnsi="仿宋" w:eastAsia="仿宋" w:cs="仿宋"/>
          <w:bCs/>
          <w:snapToGrid w:val="0"/>
          <w:kern w:val="16"/>
          <w:sz w:val="32"/>
          <w:szCs w:val="32"/>
        </w:rPr>
        <w:t>卢氏县</w:t>
      </w:r>
      <w:r>
        <w:rPr>
          <w:rFonts w:hint="eastAsia" w:ascii="仿宋" w:hAnsi="仿宋" w:eastAsia="仿宋" w:cs="仿宋"/>
          <w:bCs/>
          <w:snapToGrid w:val="0"/>
          <w:kern w:val="16"/>
          <w:sz w:val="32"/>
          <w:szCs w:val="32"/>
          <w:lang w:eastAsia="zh-CN"/>
        </w:rPr>
        <w:t>总工会</w:t>
      </w:r>
      <w:r>
        <w:rPr>
          <w:rFonts w:hint="eastAsia" w:ascii="仿宋" w:hAnsi="仿宋" w:eastAsia="仿宋" w:cs="仿宋"/>
          <w:bCs/>
          <w:snapToGrid w:val="0"/>
          <w:kern w:val="16"/>
          <w:sz w:val="32"/>
          <w:szCs w:val="32"/>
        </w:rPr>
        <w:t>2018年一般公共预算基本支出</w:t>
      </w:r>
      <w:r>
        <w:rPr>
          <w:rFonts w:hint="eastAsia" w:ascii="仿宋" w:hAnsi="仿宋" w:eastAsia="仿宋" w:cs="仿宋"/>
          <w:bCs/>
          <w:snapToGrid w:val="0"/>
          <w:kern w:val="16"/>
          <w:sz w:val="32"/>
          <w:szCs w:val="32"/>
          <w:lang w:val="en-US" w:eastAsia="zh-CN"/>
        </w:rPr>
        <w:t>61.49</w:t>
      </w:r>
      <w:r>
        <w:rPr>
          <w:rFonts w:hint="eastAsia" w:ascii="仿宋" w:hAnsi="仿宋" w:eastAsia="仿宋" w:cs="仿宋"/>
          <w:bCs/>
          <w:snapToGrid w:val="0"/>
          <w:kern w:val="16"/>
          <w:sz w:val="32"/>
          <w:szCs w:val="32"/>
        </w:rPr>
        <w:t xml:space="preserve">万元，其中：人员经费 </w:t>
      </w:r>
      <w:r>
        <w:rPr>
          <w:rFonts w:hint="eastAsia" w:ascii="仿宋" w:hAnsi="仿宋" w:eastAsia="仿宋" w:cs="仿宋"/>
          <w:bCs/>
          <w:snapToGrid w:val="0"/>
          <w:kern w:val="16"/>
          <w:sz w:val="32"/>
          <w:szCs w:val="32"/>
          <w:lang w:val="en-US" w:eastAsia="zh-CN"/>
        </w:rPr>
        <w:t>58.8</w:t>
      </w:r>
      <w:r>
        <w:rPr>
          <w:rFonts w:hint="eastAsia" w:ascii="仿宋" w:hAnsi="仿宋" w:eastAsia="仿宋" w:cs="仿宋"/>
          <w:bCs/>
          <w:snapToGrid w:val="0"/>
          <w:kern w:val="16"/>
          <w:sz w:val="32"/>
          <w:szCs w:val="32"/>
        </w:rPr>
        <w:t xml:space="preserve">万元，主要包括：（基本工资、津贴补贴、 奖金、社会保障缴费、伙食补助费、绩效工资、其他工资福利支出、离休费、退休费、退职（役）费、抚恤金、生活补助、 医疗费、助学金、奖励金、住房公积金、提租补贴、购房补贴、 其他对个人和家庭的补助支出）；机关运行经费： </w:t>
      </w:r>
      <w:r>
        <w:rPr>
          <w:rFonts w:hint="eastAsia" w:ascii="仿宋" w:hAnsi="仿宋" w:eastAsia="仿宋" w:cs="仿宋"/>
          <w:bCs/>
          <w:snapToGrid w:val="0"/>
          <w:kern w:val="16"/>
          <w:sz w:val="32"/>
          <w:szCs w:val="32"/>
          <w:lang w:val="en-US" w:eastAsia="zh-CN"/>
        </w:rPr>
        <w:t>2.6</w:t>
      </w:r>
      <w:r>
        <w:rPr>
          <w:rFonts w:hint="eastAsia" w:ascii="仿宋" w:hAnsi="仿宋" w:eastAsia="仿宋" w:cs="仿宋"/>
          <w:bCs/>
          <w:snapToGrid w:val="0"/>
          <w:kern w:val="16"/>
          <w:sz w:val="32"/>
          <w:szCs w:val="32"/>
        </w:rPr>
        <w:t>万元，主要包括：（办公费、印刷费、咨询费、手续费、水费、电费、邮电费、取暖费、物业管理费、差旅费、因公出国（境）费、维 修（护）费、租赁费、会议费、培训费、公务接待费、专用材料费、劳务费、委托业务费、工会经费、福利费、公务用车运 行维护费、其他交通费用、税金及附加费用、其他商品和服务支出、办公设备购置、专用设备购置、大型修缮、信息网络及软件购置更新、其他资本性支出）。</w:t>
      </w:r>
    </w:p>
    <w:p>
      <w:pPr>
        <w:keepNext w:val="0"/>
        <w:keepLines w:val="0"/>
        <w:pageBreakBefore w:val="0"/>
        <w:widowControl w:val="0"/>
        <w:wordWrap/>
        <w:topLinePunct w:val="0"/>
        <w:bidi w:val="0"/>
        <w:spacing w:line="600" w:lineRule="exact"/>
        <w:ind w:firstLine="640" w:firstLineChars="200"/>
        <w:textAlignment w:val="auto"/>
        <w:outlineLvl w:val="0"/>
        <w:rPr>
          <w:rFonts w:ascii="仿宋_GB2312" w:eastAsia="仿宋_GB2312"/>
          <w:snapToGrid w:val="0"/>
          <w:kern w:val="16"/>
          <w:sz w:val="32"/>
          <w:szCs w:val="32"/>
        </w:rPr>
      </w:pPr>
      <w:r>
        <w:rPr>
          <w:rFonts w:hint="eastAsia" w:ascii="黑体" w:hAnsi="Times New Roman" w:eastAsia="黑体" w:cs="黑体"/>
          <w:snapToGrid w:val="0"/>
          <w:kern w:val="16"/>
          <w:sz w:val="32"/>
          <w:szCs w:val="32"/>
        </w:rPr>
        <w:t>六、政府性基金预算支出决算情况说明</w:t>
      </w:r>
    </w:p>
    <w:p>
      <w:pPr>
        <w:keepNext w:val="0"/>
        <w:keepLines w:val="0"/>
        <w:pageBreakBefore w:val="0"/>
        <w:widowControl w:val="0"/>
        <w:wordWrap/>
        <w:topLinePunct w:val="0"/>
        <w:bidi w:val="0"/>
        <w:spacing w:line="600" w:lineRule="exact"/>
        <w:ind w:firstLine="602"/>
        <w:textAlignment w:val="auto"/>
        <w:rPr>
          <w:rFonts w:ascii="仿宋_GB2312" w:eastAsia="仿宋_GB2312"/>
          <w:snapToGrid w:val="0"/>
          <w:kern w:val="16"/>
          <w:sz w:val="32"/>
          <w:szCs w:val="32"/>
        </w:rPr>
      </w:pPr>
      <w:r>
        <w:rPr>
          <w:rFonts w:hint="eastAsia" w:ascii="仿宋" w:hAnsi="仿宋" w:eastAsia="仿宋" w:cs="仿宋"/>
          <w:bCs/>
          <w:snapToGrid w:val="0"/>
          <w:kern w:val="16"/>
          <w:sz w:val="32"/>
          <w:szCs w:val="32"/>
        </w:rPr>
        <w:t>卢氏县</w:t>
      </w:r>
      <w:r>
        <w:rPr>
          <w:rFonts w:hint="eastAsia" w:ascii="仿宋" w:hAnsi="仿宋" w:eastAsia="仿宋" w:cs="仿宋"/>
          <w:bCs/>
          <w:snapToGrid w:val="0"/>
          <w:kern w:val="16"/>
          <w:sz w:val="32"/>
          <w:szCs w:val="32"/>
          <w:lang w:eastAsia="zh-CN"/>
        </w:rPr>
        <w:t>总工会</w:t>
      </w:r>
      <w:r>
        <w:rPr>
          <w:rFonts w:hint="eastAsia" w:ascii="仿宋" w:hAnsi="仿宋" w:eastAsia="仿宋" w:cs="仿宋"/>
          <w:bCs/>
          <w:snapToGrid w:val="0"/>
          <w:kern w:val="16"/>
          <w:sz w:val="32"/>
          <w:szCs w:val="32"/>
        </w:rPr>
        <w:t>2018年政府性基金预算拨款安排支出</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w:t>
      </w:r>
      <w:r>
        <w:rPr>
          <w:rFonts w:hint="eastAsia" w:ascii="仿宋_GB2312" w:hAnsi="宋体" w:eastAsia="仿宋_GB2312" w:cs="Courier New"/>
          <w:snapToGrid w:val="0"/>
          <w:kern w:val="16"/>
          <w:sz w:val="32"/>
          <w:szCs w:val="32"/>
        </w:rPr>
        <w:t>。</w:t>
      </w:r>
    </w:p>
    <w:p>
      <w:pPr>
        <w:keepNext w:val="0"/>
        <w:keepLines w:val="0"/>
        <w:pageBreakBefore w:val="0"/>
        <w:widowControl w:val="0"/>
        <w:wordWrap/>
        <w:topLinePunct w:val="0"/>
        <w:bidi w:val="0"/>
        <w:spacing w:line="600" w:lineRule="exact"/>
        <w:ind w:firstLine="640" w:firstLineChars="200"/>
        <w:textAlignment w:val="auto"/>
        <w:outlineLvl w:val="0"/>
        <w:rPr>
          <w:rFonts w:ascii="仿宋_GB2312" w:eastAsia="仿宋_GB2312"/>
          <w:snapToGrid w:val="0"/>
          <w:kern w:val="16"/>
          <w:sz w:val="32"/>
          <w:szCs w:val="32"/>
        </w:rPr>
      </w:pPr>
      <w:r>
        <w:rPr>
          <w:rFonts w:hint="eastAsia" w:ascii="黑体" w:hAnsi="Times New Roman" w:eastAsia="黑体" w:cs="黑体"/>
          <w:snapToGrid w:val="0"/>
          <w:kern w:val="16"/>
          <w:sz w:val="32"/>
          <w:szCs w:val="32"/>
        </w:rPr>
        <w:t>七、 “三公”经费支出预算情况及增减变化原因说明</w:t>
      </w:r>
    </w:p>
    <w:p>
      <w:pPr>
        <w:keepNext w:val="0"/>
        <w:keepLines w:val="0"/>
        <w:pageBreakBefore w:val="0"/>
        <w:widowControl w:val="0"/>
        <w:wordWrap/>
        <w:topLinePunct w:val="0"/>
        <w:bidi w:val="0"/>
        <w:spacing w:line="600" w:lineRule="exact"/>
        <w:ind w:firstLine="602"/>
        <w:textAlignment w:val="auto"/>
        <w:rPr>
          <w:rFonts w:ascii="仿宋" w:hAnsi="仿宋" w:eastAsia="仿宋" w:cs="仿宋"/>
          <w:bCs/>
          <w:snapToGrid w:val="0"/>
          <w:kern w:val="16"/>
          <w:sz w:val="32"/>
          <w:szCs w:val="32"/>
        </w:rPr>
      </w:pPr>
      <w:r>
        <w:rPr>
          <w:rFonts w:hint="eastAsia" w:ascii="仿宋" w:hAnsi="仿宋" w:eastAsia="仿宋" w:cs="仿宋"/>
          <w:bCs/>
          <w:snapToGrid w:val="0"/>
          <w:kern w:val="16"/>
          <w:sz w:val="32"/>
          <w:szCs w:val="32"/>
        </w:rPr>
        <w:t>卢氏县</w:t>
      </w:r>
      <w:r>
        <w:rPr>
          <w:rFonts w:hint="eastAsia" w:ascii="仿宋" w:hAnsi="仿宋" w:eastAsia="仿宋" w:cs="仿宋"/>
          <w:bCs/>
          <w:snapToGrid w:val="0"/>
          <w:kern w:val="16"/>
          <w:sz w:val="32"/>
          <w:szCs w:val="32"/>
          <w:lang w:eastAsia="zh-CN"/>
        </w:rPr>
        <w:t>总工会</w:t>
      </w:r>
      <w:r>
        <w:rPr>
          <w:rFonts w:hint="eastAsia" w:ascii="仿宋" w:hAnsi="仿宋" w:eastAsia="仿宋" w:cs="仿宋"/>
          <w:bCs/>
          <w:snapToGrid w:val="0"/>
          <w:kern w:val="16"/>
          <w:sz w:val="32"/>
          <w:szCs w:val="32"/>
        </w:rPr>
        <w:t>2018年“三公”经费预算为</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万元。2018年“三公”经费支出预算数比 2017年预算数增加（或减少）</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万元。具体支出情况如下：</w:t>
      </w:r>
    </w:p>
    <w:p>
      <w:pPr>
        <w:keepNext w:val="0"/>
        <w:keepLines w:val="0"/>
        <w:pageBreakBefore w:val="0"/>
        <w:widowControl w:val="0"/>
        <w:numPr>
          <w:ilvl w:val="0"/>
          <w:numId w:val="2"/>
        </w:numPr>
        <w:wordWrap/>
        <w:topLinePunct w:val="0"/>
        <w:bidi w:val="0"/>
        <w:spacing w:line="600" w:lineRule="exact"/>
        <w:ind w:firstLine="640" w:firstLineChars="200"/>
        <w:textAlignment w:val="auto"/>
        <w:rPr>
          <w:rFonts w:ascii="仿宋" w:hAnsi="仿宋" w:eastAsia="仿宋" w:cs="仿宋"/>
          <w:bCs/>
          <w:snapToGrid w:val="0"/>
          <w:kern w:val="16"/>
          <w:sz w:val="32"/>
          <w:szCs w:val="32"/>
        </w:rPr>
      </w:pPr>
      <w:r>
        <w:rPr>
          <w:rFonts w:hint="eastAsia" w:ascii="仿宋" w:hAnsi="仿宋" w:eastAsia="仿宋" w:cs="仿宋"/>
          <w:bCs/>
          <w:snapToGrid w:val="0"/>
          <w:kern w:val="16"/>
          <w:sz w:val="32"/>
          <w:szCs w:val="32"/>
        </w:rPr>
        <w:t>因公出国（境）费</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万元，主要用于单位工作人员公务出国（境）的住宿费、旅费、伙食补助费、杂费、培训费等支出。预算数比2017年增加（或减少）</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w:t>
      </w:r>
    </w:p>
    <w:p>
      <w:pPr>
        <w:keepNext w:val="0"/>
        <w:keepLines w:val="0"/>
        <w:pageBreakBefore w:val="0"/>
        <w:widowControl w:val="0"/>
        <w:wordWrap/>
        <w:topLinePunct w:val="0"/>
        <w:bidi w:val="0"/>
        <w:spacing w:line="600" w:lineRule="exact"/>
        <w:ind w:firstLine="640" w:firstLineChars="200"/>
        <w:textAlignment w:val="auto"/>
        <w:rPr>
          <w:rFonts w:ascii="仿宋" w:hAnsi="仿宋" w:eastAsia="仿宋" w:cs="仿宋"/>
          <w:bCs/>
          <w:snapToGrid w:val="0"/>
          <w:kern w:val="16"/>
          <w:sz w:val="32"/>
          <w:szCs w:val="32"/>
        </w:rPr>
      </w:pPr>
      <w:r>
        <w:rPr>
          <w:rFonts w:hint="eastAsia" w:ascii="仿宋" w:hAnsi="仿宋" w:eastAsia="仿宋" w:cs="仿宋"/>
          <w:bCs/>
          <w:snapToGrid w:val="0"/>
          <w:kern w:val="16"/>
          <w:sz w:val="32"/>
          <w:szCs w:val="32"/>
        </w:rPr>
        <w:t>（二）公务用车购置及运行费</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万元，其中，公务用车购置费</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 xml:space="preserve">万元；公务用车运行维护费 </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万元，主要用于开展工作所需公务用车的燃料费、维修费、过路过桥费、保险费、安全奖励费用等支出。公务用车购置费预算数预算数比2017年增加（或减少）</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万元。公务用车运行维护费预算数比 2017年增加（或减少）</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万元，主要原因：因工作需要，单位业务量增多公务用车运行维护费在上年支出的基础上适当增加。</w:t>
      </w:r>
    </w:p>
    <w:p>
      <w:pPr>
        <w:keepNext w:val="0"/>
        <w:keepLines w:val="0"/>
        <w:pageBreakBefore w:val="0"/>
        <w:widowControl w:val="0"/>
        <w:wordWrap/>
        <w:topLinePunct w:val="0"/>
        <w:bidi w:val="0"/>
        <w:spacing w:line="600" w:lineRule="exact"/>
        <w:ind w:firstLine="602"/>
        <w:textAlignment w:val="auto"/>
        <w:rPr>
          <w:rFonts w:ascii="仿宋" w:hAnsi="仿宋" w:eastAsia="仿宋" w:cs="仿宋"/>
          <w:bCs/>
          <w:snapToGrid w:val="0"/>
          <w:kern w:val="16"/>
          <w:sz w:val="32"/>
          <w:szCs w:val="32"/>
        </w:rPr>
      </w:pPr>
      <w:r>
        <w:rPr>
          <w:rFonts w:hint="eastAsia" w:ascii="仿宋" w:hAnsi="仿宋" w:eastAsia="仿宋" w:cs="仿宋"/>
          <w:bCs/>
          <w:snapToGrid w:val="0"/>
          <w:kern w:val="16"/>
          <w:sz w:val="32"/>
          <w:szCs w:val="32"/>
        </w:rPr>
        <w:t>（三）公务接待费</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万元，主要用于按规定开支的各类公务接待（含外宾接待）支出。预算数和2017年增加（或减少）</w:t>
      </w:r>
      <w:r>
        <w:rPr>
          <w:rFonts w:hint="eastAsia" w:ascii="仿宋" w:hAnsi="仿宋" w:eastAsia="仿宋" w:cs="仿宋"/>
          <w:bCs/>
          <w:snapToGrid w:val="0"/>
          <w:kern w:val="16"/>
          <w:sz w:val="32"/>
          <w:szCs w:val="32"/>
          <w:lang w:val="en-US" w:eastAsia="zh-CN"/>
        </w:rPr>
        <w:t>0</w:t>
      </w:r>
      <w:r>
        <w:rPr>
          <w:rFonts w:hint="eastAsia" w:ascii="仿宋" w:hAnsi="仿宋" w:eastAsia="仿宋" w:cs="仿宋"/>
          <w:bCs/>
          <w:snapToGrid w:val="0"/>
          <w:kern w:val="16"/>
          <w:sz w:val="32"/>
          <w:szCs w:val="32"/>
        </w:rPr>
        <w:t>万元。</w:t>
      </w:r>
    </w:p>
    <w:p>
      <w:pPr>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640" w:firstLineChars="200"/>
        <w:textAlignment w:val="auto"/>
        <w:rPr>
          <w:rFonts w:ascii="黑体" w:hAnsi="黑体" w:eastAsia="黑体" w:cs="黑体"/>
          <w:snapToGrid w:val="0"/>
          <w:kern w:val="16"/>
          <w:sz w:val="32"/>
          <w:szCs w:val="32"/>
        </w:rPr>
      </w:pPr>
      <w:r>
        <w:rPr>
          <w:rFonts w:hint="eastAsia" w:ascii="黑体" w:hAnsi="黑体" w:eastAsia="黑体" w:cs="黑体"/>
          <w:snapToGrid w:val="0"/>
          <w:kern w:val="16"/>
          <w:sz w:val="32"/>
          <w:szCs w:val="32"/>
        </w:rPr>
        <w:t>八、政府采购安排情况</w:t>
      </w:r>
    </w:p>
    <w:p>
      <w:pPr>
        <w:keepNext w:val="0"/>
        <w:keepLines w:val="0"/>
        <w:pageBreakBefore w:val="0"/>
        <w:widowControl w:val="0"/>
        <w:wordWrap/>
        <w:topLinePunct w:val="0"/>
        <w:bidi w:val="0"/>
        <w:spacing w:line="600" w:lineRule="exact"/>
        <w:ind w:firstLine="602"/>
        <w:textAlignment w:val="auto"/>
        <w:rPr>
          <w:rFonts w:hint="eastAsia" w:ascii="仿宋" w:hAnsi="仿宋" w:eastAsia="仿宋" w:cs="仿宋"/>
          <w:bCs/>
          <w:snapToGrid w:val="0"/>
          <w:kern w:val="16"/>
          <w:sz w:val="32"/>
          <w:szCs w:val="32"/>
          <w:lang w:eastAsia="zh-CN"/>
        </w:rPr>
      </w:pPr>
      <w:r>
        <w:rPr>
          <w:rFonts w:hint="eastAsia" w:ascii="仿宋" w:hAnsi="仿宋" w:eastAsia="仿宋" w:cs="仿宋"/>
          <w:bCs/>
          <w:snapToGrid w:val="0"/>
          <w:kern w:val="16"/>
          <w:sz w:val="32"/>
          <w:szCs w:val="32"/>
        </w:rPr>
        <w:t>2018年无政府采购</w:t>
      </w:r>
      <w:r>
        <w:rPr>
          <w:rFonts w:hint="eastAsia" w:ascii="仿宋" w:hAnsi="仿宋" w:eastAsia="仿宋" w:cs="仿宋"/>
          <w:bCs/>
          <w:snapToGrid w:val="0"/>
          <w:kern w:val="16"/>
          <w:sz w:val="32"/>
          <w:szCs w:val="32"/>
          <w:lang w:eastAsia="zh-CN"/>
        </w:rPr>
        <w:t>。</w:t>
      </w:r>
    </w:p>
    <w:p>
      <w:pPr>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640" w:firstLineChars="200"/>
        <w:textAlignment w:val="auto"/>
        <w:rPr>
          <w:rFonts w:ascii="黑体" w:hAnsi="黑体" w:eastAsia="黑体" w:cs="黑体"/>
          <w:snapToGrid w:val="0"/>
          <w:kern w:val="16"/>
          <w:sz w:val="32"/>
          <w:szCs w:val="32"/>
        </w:rPr>
      </w:pPr>
      <w:r>
        <w:rPr>
          <w:rFonts w:hint="eastAsia" w:ascii="黑体" w:hAnsi="黑体" w:eastAsia="黑体" w:cs="黑体"/>
          <w:snapToGrid w:val="0"/>
          <w:kern w:val="16"/>
          <w:sz w:val="32"/>
          <w:szCs w:val="32"/>
        </w:rPr>
        <w:t>十、重点项目预算绩效目标</w:t>
      </w:r>
    </w:p>
    <w:p>
      <w:pPr>
        <w:keepNext w:val="0"/>
        <w:keepLines w:val="0"/>
        <w:pageBreakBefore w:val="0"/>
        <w:widowControl w:val="0"/>
        <w:wordWrap/>
        <w:topLinePunct w:val="0"/>
        <w:bidi w:val="0"/>
        <w:spacing w:line="600" w:lineRule="exact"/>
        <w:ind w:firstLine="602"/>
        <w:textAlignment w:val="auto"/>
        <w:rPr>
          <w:rFonts w:hint="eastAsia" w:ascii="仿宋" w:hAnsi="仿宋" w:eastAsia="仿宋" w:cs="仿宋"/>
          <w:bCs/>
          <w:snapToGrid w:val="0"/>
          <w:kern w:val="16"/>
          <w:sz w:val="32"/>
          <w:szCs w:val="32"/>
        </w:rPr>
      </w:pPr>
      <w:r>
        <w:rPr>
          <w:rFonts w:hint="eastAsia" w:ascii="仿宋" w:hAnsi="仿宋" w:eastAsia="仿宋" w:cs="仿宋"/>
          <w:bCs/>
          <w:snapToGrid w:val="0"/>
          <w:kern w:val="16"/>
          <w:sz w:val="32"/>
          <w:szCs w:val="32"/>
        </w:rPr>
        <w:t>无。</w:t>
      </w:r>
    </w:p>
    <w:p>
      <w:pPr>
        <w:keepNext w:val="0"/>
        <w:keepLines w:val="0"/>
        <w:pageBreakBefore w:val="0"/>
        <w:widowControl w:val="0"/>
        <w:wordWrap/>
        <w:topLinePunct w:val="0"/>
        <w:bidi w:val="0"/>
        <w:spacing w:line="600" w:lineRule="exact"/>
        <w:ind w:firstLine="602"/>
        <w:textAlignment w:val="auto"/>
        <w:rPr>
          <w:rFonts w:ascii="仿宋" w:hAnsi="仿宋" w:eastAsia="仿宋" w:cs="仿宋"/>
          <w:bCs/>
          <w:snapToGrid w:val="0"/>
          <w:kern w:val="16"/>
          <w:sz w:val="32"/>
          <w:szCs w:val="32"/>
        </w:rPr>
      </w:pPr>
      <w:r>
        <w:rPr>
          <w:rFonts w:hint="eastAsia" w:ascii="黑体" w:hAnsi="黑体" w:eastAsia="黑体"/>
          <w:snapToGrid w:val="0"/>
          <w:kern w:val="16"/>
          <w:sz w:val="32"/>
          <w:szCs w:val="32"/>
        </w:rPr>
        <w:t>附件：卢氏县</w:t>
      </w:r>
      <w:r>
        <w:rPr>
          <w:rFonts w:hint="eastAsia" w:ascii="黑体" w:hAnsi="黑体" w:eastAsia="黑体" w:cs="黑体"/>
          <w:b w:val="0"/>
          <w:bCs w:val="0"/>
          <w:sz w:val="32"/>
          <w:szCs w:val="32"/>
          <w:lang w:eastAsia="zh-CN"/>
        </w:rPr>
        <w:t>总工会</w:t>
      </w:r>
      <w:r>
        <w:rPr>
          <w:rFonts w:hint="eastAsia" w:ascii="黑体" w:hAnsi="黑体" w:eastAsia="黑体"/>
          <w:snapToGrid w:val="0"/>
          <w:kern w:val="16"/>
          <w:sz w:val="32"/>
          <w:szCs w:val="32"/>
        </w:rPr>
        <w:t>2018年度部门预算十张表</w:t>
      </w:r>
      <w:r>
        <w:rPr>
          <w:rFonts w:hint="eastAsia" w:ascii="仿宋" w:hAnsi="仿宋" w:eastAsia="仿宋" w:cs="仿宋"/>
          <w:bCs/>
          <w:snapToGrid w:val="0"/>
          <w:kern w:val="16"/>
          <w:sz w:val="32"/>
          <w:szCs w:val="32"/>
        </w:rPr>
        <w:t xml:space="preserve">             </w:t>
      </w:r>
    </w:p>
    <w:p>
      <w:pPr>
        <w:keepNext w:val="0"/>
        <w:keepLines w:val="0"/>
        <w:pageBreakBefore w:val="0"/>
        <w:widowControl w:val="0"/>
        <w:kinsoku w:val="0"/>
        <w:wordWrap/>
        <w:overflowPunct w:val="0"/>
        <w:topLinePunct w:val="0"/>
        <w:autoSpaceDE w:val="0"/>
        <w:autoSpaceDN w:val="0"/>
        <w:bidi w:val="0"/>
        <w:adjustRightInd w:val="0"/>
        <w:snapToGrid w:val="0"/>
        <w:spacing w:line="600" w:lineRule="exact"/>
        <w:textAlignment w:val="auto"/>
        <w:rPr>
          <w:rFonts w:hint="eastAsia" w:ascii="仿宋_GB2312" w:hAnsi="宋体" w:eastAsia="仿宋_GB2312" w:cs="Courier New"/>
          <w:sz w:val="32"/>
          <w:szCs w:val="32"/>
        </w:rPr>
      </w:pPr>
    </w:p>
    <w:p>
      <w:pPr>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5760" w:firstLineChars="1800"/>
        <w:textAlignment w:val="auto"/>
        <w:rPr>
          <w:rFonts w:hint="eastAsia" w:ascii="仿宋_GB2312" w:hAnsi="Times New Roman" w:eastAsia="仿宋_GB2312" w:cs="仿宋_GB2312"/>
          <w:b w:val="0"/>
          <w:bCs/>
          <w:kern w:val="0"/>
          <w:sz w:val="32"/>
          <w:szCs w:val="32"/>
        </w:rPr>
      </w:pPr>
      <w:r>
        <w:rPr>
          <w:rFonts w:hint="eastAsia" w:ascii="仿宋_GB2312" w:hAnsi="Times New Roman" w:eastAsia="仿宋_GB2312" w:cs="仿宋_GB2312"/>
          <w:b w:val="0"/>
          <w:bCs/>
          <w:kern w:val="0"/>
          <w:sz w:val="32"/>
          <w:szCs w:val="32"/>
        </w:rPr>
        <w:t>卢氏县总工会</w:t>
      </w:r>
    </w:p>
    <w:p>
      <w:pPr>
        <w:keepNext w:val="0"/>
        <w:keepLines w:val="0"/>
        <w:pageBreakBefore w:val="0"/>
        <w:widowControl w:val="0"/>
        <w:kinsoku w:val="0"/>
        <w:wordWrap/>
        <w:overflowPunct w:val="0"/>
        <w:topLinePunct w:val="0"/>
        <w:autoSpaceDE w:val="0"/>
        <w:autoSpaceDN w:val="0"/>
        <w:bidi w:val="0"/>
        <w:adjustRightInd w:val="0"/>
        <w:snapToGrid w:val="0"/>
        <w:spacing w:line="600" w:lineRule="exact"/>
        <w:ind w:firstLine="5760" w:firstLineChars="1800"/>
        <w:textAlignment w:val="auto"/>
        <w:rPr>
          <w:rFonts w:ascii="黑体" w:hAnsi="黑体" w:eastAsia="黑体"/>
          <w:sz w:val="32"/>
          <w:szCs w:val="32"/>
        </w:rPr>
      </w:pPr>
      <w:r>
        <w:rPr>
          <w:rFonts w:hint="eastAsia" w:ascii="仿宋_GB2312" w:hAnsi="Times New Roman" w:eastAsia="仿宋_GB2312" w:cs="仿宋_GB2312"/>
          <w:b w:val="0"/>
          <w:bCs/>
          <w:kern w:val="0"/>
          <w:sz w:val="32"/>
          <w:szCs w:val="32"/>
        </w:rPr>
        <w:t>201</w:t>
      </w:r>
      <w:r>
        <w:rPr>
          <w:rFonts w:hint="eastAsia" w:ascii="仿宋_GB2312" w:hAnsi="Times New Roman" w:eastAsia="仿宋_GB2312" w:cs="仿宋_GB2312"/>
          <w:b w:val="0"/>
          <w:bCs/>
          <w:kern w:val="0"/>
          <w:sz w:val="32"/>
          <w:szCs w:val="32"/>
          <w:lang w:val="en-US" w:eastAsia="zh-CN"/>
        </w:rPr>
        <w:t>8</w:t>
      </w:r>
      <w:r>
        <w:rPr>
          <w:rFonts w:hint="eastAsia" w:ascii="仿宋_GB2312" w:hAnsi="Times New Roman" w:eastAsia="仿宋_GB2312" w:cs="仿宋_GB2312"/>
          <w:b w:val="0"/>
          <w:bCs/>
          <w:kern w:val="0"/>
          <w:sz w:val="32"/>
          <w:szCs w:val="32"/>
        </w:rPr>
        <w:t>年5月</w:t>
      </w:r>
      <w:r>
        <w:rPr>
          <w:rFonts w:hint="eastAsia" w:ascii="仿宋_GB2312" w:hAnsi="Times New Roman" w:eastAsia="仿宋_GB2312" w:cs="仿宋_GB2312"/>
          <w:b w:val="0"/>
          <w:bCs/>
          <w:kern w:val="0"/>
          <w:sz w:val="32"/>
          <w:szCs w:val="32"/>
          <w:lang w:val="en-US" w:eastAsia="zh-CN"/>
        </w:rPr>
        <w:t>11</w:t>
      </w:r>
      <w:r>
        <w:rPr>
          <w:rFonts w:hint="eastAsia" w:ascii="仿宋_GB2312" w:hAnsi="Times New Roman" w:eastAsia="仿宋_GB2312" w:cs="仿宋_GB2312"/>
          <w:b w:val="0"/>
          <w:bCs/>
          <w:kern w:val="0"/>
          <w:sz w:val="32"/>
          <w:szCs w:val="32"/>
        </w:rPr>
        <w:t>日</w:t>
      </w:r>
    </w:p>
    <w:p>
      <w:pPr>
        <w:keepNext w:val="0"/>
        <w:keepLines w:val="0"/>
        <w:pageBreakBefore w:val="0"/>
        <w:widowControl w:val="0"/>
        <w:wordWrap/>
        <w:topLinePunct w:val="0"/>
        <w:bidi w:val="0"/>
        <w:adjustRightInd w:val="0"/>
        <w:snapToGrid w:val="0"/>
        <w:spacing w:line="600" w:lineRule="exact"/>
        <w:jc w:val="center"/>
        <w:textAlignment w:val="auto"/>
        <w:rPr>
          <w:rFonts w:ascii="黑体" w:hAnsi="黑体" w:eastAsia="黑体"/>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 PAGE   \* MERGEFORMAT </w:instrText>
    </w:r>
    <w:r>
      <w:fldChar w:fldCharType="separate"/>
    </w:r>
    <w:r>
      <w:rPr>
        <w:lang w:val="zh-CN"/>
      </w:rPr>
      <w:t>5</w:t>
    </w:r>
    <w:r>
      <w:fldChar w:fldCharType="end"/>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F411DD"/>
    <w:multiLevelType w:val="singleLevel"/>
    <w:tmpl w:val="5AF411DD"/>
    <w:lvl w:ilvl="0" w:tentative="0">
      <w:start w:val="1"/>
      <w:numFmt w:val="chineseCounting"/>
      <w:suff w:val="nothing"/>
      <w:lvlText w:val="（%1）"/>
      <w:lvlJc w:val="left"/>
    </w:lvl>
  </w:abstractNum>
  <w:abstractNum w:abstractNumId="1">
    <w:nsid w:val="5AF4149E"/>
    <w:multiLevelType w:val="singleLevel"/>
    <w:tmpl w:val="5AF4149E"/>
    <w:lvl w:ilvl="0" w:tentative="0">
      <w:start w:val="1"/>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C7DEE"/>
    <w:rsid w:val="00062E45"/>
    <w:rsid w:val="000907BF"/>
    <w:rsid w:val="00127393"/>
    <w:rsid w:val="001A4861"/>
    <w:rsid w:val="003135C1"/>
    <w:rsid w:val="00353B4B"/>
    <w:rsid w:val="00391A83"/>
    <w:rsid w:val="004C1756"/>
    <w:rsid w:val="004C7DEE"/>
    <w:rsid w:val="0072198B"/>
    <w:rsid w:val="009B4036"/>
    <w:rsid w:val="00A567F9"/>
    <w:rsid w:val="00A76D5C"/>
    <w:rsid w:val="00A8016A"/>
    <w:rsid w:val="00AA0507"/>
    <w:rsid w:val="00BD6CBA"/>
    <w:rsid w:val="00C3511B"/>
    <w:rsid w:val="00D71541"/>
    <w:rsid w:val="00DD0F76"/>
    <w:rsid w:val="00DD3806"/>
    <w:rsid w:val="00DF7176"/>
    <w:rsid w:val="00DF7C00"/>
    <w:rsid w:val="00E904BD"/>
    <w:rsid w:val="00F757B2"/>
    <w:rsid w:val="00F86F2F"/>
    <w:rsid w:val="0EC76DA1"/>
    <w:rsid w:val="16ED4133"/>
    <w:rsid w:val="549C2F84"/>
    <w:rsid w:val="71A65E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323</Words>
  <Characters>1846</Characters>
  <Lines>15</Lines>
  <Paragraphs>4</Paragraphs>
  <TotalTime>9</TotalTime>
  <ScaleCrop>false</ScaleCrop>
  <LinksUpToDate>false</LinksUpToDate>
  <CharactersWithSpaces>2165</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2017-05-12T03:33:00Z</dcterms:created>
  <dc:creator>PC</dc:creator>
  <cp:lastModifiedBy>Administrator</cp:lastModifiedBy>
  <cp:lastPrinted>2018-05-11T08:20:00Z</cp:lastPrinted>
  <dcterms:modified xsi:type="dcterms:W3CDTF">2018-05-11T08:38:52Z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