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874" w:rsidRDefault="006F01A6" w:rsidP="00665874">
      <w:pPr>
        <w:pStyle w:val="1"/>
        <w:jc w:val="center"/>
        <w:rPr>
          <w:rFonts w:hint="eastAsia"/>
        </w:rPr>
      </w:pPr>
      <w:r>
        <w:rPr>
          <w:rFonts w:hint="eastAsia"/>
        </w:rPr>
        <w:t>卢氏县城乡居民社会养老保险中心</w:t>
      </w:r>
    </w:p>
    <w:p w:rsidR="005A5CDE" w:rsidRPr="00665874" w:rsidRDefault="006F01A6" w:rsidP="00665874">
      <w:pPr>
        <w:pStyle w:val="1"/>
        <w:jc w:val="center"/>
      </w:pPr>
      <w:r>
        <w:rPr>
          <w:rFonts w:hint="eastAsia"/>
        </w:rPr>
        <w:t>2018</w:t>
      </w:r>
      <w:r>
        <w:rPr>
          <w:rFonts w:hint="eastAsia"/>
        </w:rPr>
        <w:t>年度部门预算公开情况说明</w:t>
      </w:r>
    </w:p>
    <w:p w:rsidR="005A5CDE" w:rsidRDefault="005A5CDE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5A5CDE" w:rsidRDefault="006F01A6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5A5CDE" w:rsidRPr="001E60B1" w:rsidRDefault="006F01A6">
      <w:pPr>
        <w:spacing w:line="440" w:lineRule="exact"/>
        <w:ind w:firstLineChars="200" w:firstLine="64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卢氏县城乡居民社会养老保险中心</w:t>
      </w:r>
      <w:r w:rsidR="006658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是卢氏县人力资源和社会保障局所属事业单位，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</w:t>
      </w:r>
      <w:r w:rsidR="006658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个职能科室，共有编制28人，其中：行政编制0人，事业编制28人；在职人员26人，离退休人员</w:t>
      </w:r>
      <w:r w:rsidR="00665874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 w:rsidRPr="001E60B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负责全县城乡居民养老保险的日常管理、政策宣传、参保登记、基金管理和发放、参保人员信息管理、保险关系转移接续、内控管理、数据统计、待遇领取资格认定、档案管理、接受咨询查询和举报受理等工作，并对乡（镇）劳保所的城乡居民社会养老保险经办业务进行指导、监督检查和审计；做好全县困难群众的城乡居民养老保险经办服务工作，要确保全县困难群众参保全覆盖，60岁以上困难群众养老金应发尽发，易地搬迁群众养老保险关系无缝对接等；深入贯彻学习党的十九大精神，组织中心开展“不忘初心、牢记使命”主题学习，以实践促学习，将党建贯彻于工作始终；着力推进社会保障卡管理与发放工作，基本实现社会保障卡持卡、用卡等全覆盖；加强被征地农民社会保障工作的政策宣传，负责被征地农村居民参加养老、失业、医疗等各种社会保障制度，做好被征地农民养老保险基金征缴、管理和发放；以全县精神文明建设为引领，着力打造志愿服务、法治宣传、诚信建设等特色活动。</w:t>
      </w:r>
    </w:p>
    <w:p w:rsidR="005A5CDE" w:rsidRDefault="006F01A6">
      <w:pPr>
        <w:ind w:firstLineChars="100" w:firstLine="32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5A5CDE" w:rsidRDefault="006F01A6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卢氏县城乡居民社会养老保险中心2018年一般公共预算收支预算191.03万元。与 2017 年相比，一般公共预算收支预算增加30.31万元，增加18.86%。</w:t>
      </w:r>
    </w:p>
    <w:p w:rsidR="005A5CDE" w:rsidRDefault="006F01A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lastRenderedPageBreak/>
        <w:t>（一）收入预算总体情况说明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卢氏县城乡居民社会养老保险中心2018年收入合计191.03万元，其中：一般公共预算191.03万元;  政府性基金0万元，其他收入0万元 。</w:t>
      </w:r>
    </w:p>
    <w:p w:rsidR="005A5CDE" w:rsidRDefault="006F01A6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卢氏县城乡居民社会养老保险中心2018年支出合计 191.03万元，其中：基本支出177.08万元，占92.70%；项目支出 13.95万元，占7.30%。</w:t>
      </w:r>
    </w:p>
    <w:p w:rsidR="005A5CDE" w:rsidRDefault="006F01A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5A5CDE" w:rsidRDefault="006F01A6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卢氏县城乡居民社会养老保险中心2018年收入总计191.03万元，支出总计 191.03万元，与2017年相比，收、支总计各增加30.31万元，增加18.86%。主要原因：基本支出较上年增加27.21万元，主要原因为</w:t>
      </w:r>
      <w:r w:rsidR="00BD301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人数增加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 3.1万元，增加28.57%。主要原因为2018年实际参保人数增加</w:t>
      </w:r>
      <w:bookmarkStart w:id="0" w:name="_GoBack"/>
      <w:bookmarkEnd w:id="0"/>
      <w:r w:rsidR="00BD301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，项目支出相应增加</w:t>
      </w:r>
      <w:r w:rsidR="00BD3016" w:rsidRPr="00BD301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5A5CDE" w:rsidRDefault="006F01A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卢氏县城乡居民社会养老保险中心2018年一般公共预算支出年初预算为 191.03 万元。主要用于以下方面：</w:t>
      </w:r>
      <w:r w:rsidR="001E60B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社会保障和就业支出168.72万元，占 88.32%，医疗卫生支出7.84万元，占4.1%。住房保障支出14.47万元，占7.57%。</w:t>
      </w:r>
    </w:p>
    <w:p w:rsidR="005A5CDE" w:rsidRDefault="006F01A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卢氏县城乡居民社会养老保险中心2018年一般公共预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算基本支出177.08万元，其中：人员经费</w:t>
      </w:r>
      <w:r w:rsidR="001E60B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168.62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 w:rsidR="001E60B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8.46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5A5CDE" w:rsidRDefault="006F01A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5A5CDE" w:rsidRDefault="006F01A6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5A5CDE" w:rsidRDefault="006F01A6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卢氏县城乡居民社会养老保险中心2018年“三公”经费预算为3.23万元。2018年“三公”经费支出预算数比 2017年预算数减少1.07万元。具体支出情况如下：</w:t>
      </w:r>
    </w:p>
    <w:p w:rsidR="005A5CDE" w:rsidRDefault="006F01A6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训费等支出。预算数比2017年增加（或减少）0万元。</w:t>
      </w:r>
    </w:p>
    <w:p w:rsidR="005A5CDE" w:rsidRDefault="006F01A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3万元，其中，公务用车购置费 0万元；公务用车运行维护费 3万元，主要用于开展工作所需公务用车的燃料费、维修费、过路过桥费、保险费、安全奖励费用等支出。公务用车购置费预算数预算数比2017年增加（或减少）0万元。公务用车运行维护费预算数比 2017年减少1.07</w:t>
      </w:r>
      <w:r w:rsidR="00BD301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厉行节俭。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（三）公务接待费0.23万元，主要用于按规定开支的各类公务接待（含外宾接待）支出。预算数和2017年减少0.07万元。主要原因：履行节约。</w:t>
      </w:r>
    </w:p>
    <w:p w:rsidR="005A5CDE" w:rsidRDefault="006F01A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2018年无政府采购</w:t>
      </w:r>
      <w:r w:rsidR="00DE4E9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5A5CDE" w:rsidRDefault="006F01A6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支缺口的资金。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5A5CDE" w:rsidRDefault="006F01A6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A5CDE" w:rsidRDefault="006F01A6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5A5CDE" w:rsidRDefault="006F01A6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按照本单位2018年部门预算项目支出内容涉及的重大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项目适当填报。（</w:t>
      </w:r>
      <w:r w:rsidR="00BD301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卢氏县城乡居保社会养老保险中心无重大项目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</w:t>
      </w:r>
    </w:p>
    <w:p w:rsidR="005A5CDE" w:rsidRDefault="005A5CDE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5A5CDE" w:rsidRDefault="006F01A6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附件：卢氏县城乡居民社会养老保险中心2018年度部门预算十张表</w:t>
      </w:r>
    </w:p>
    <w:p w:rsidR="005A5CDE" w:rsidRDefault="005A5CDE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A5CDE" w:rsidRDefault="005A5CD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A5CDE" w:rsidRDefault="005A5CD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A5CDE" w:rsidRDefault="005A5CDE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5A5CDE" w:rsidRDefault="005A5CDE">
      <w:pPr>
        <w:spacing w:line="360" w:lineRule="auto"/>
        <w:rPr>
          <w:snapToGrid w:val="0"/>
          <w:kern w:val="16"/>
        </w:rPr>
      </w:pPr>
    </w:p>
    <w:p w:rsidR="005A5CDE" w:rsidRDefault="005A5CDE">
      <w:pPr>
        <w:spacing w:line="360" w:lineRule="auto"/>
        <w:rPr>
          <w:snapToGrid w:val="0"/>
          <w:kern w:val="16"/>
        </w:rPr>
      </w:pPr>
    </w:p>
    <w:sectPr w:rsidR="005A5CDE" w:rsidSect="005A5CDE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ADA" w:rsidRDefault="003F4ADA" w:rsidP="005A5CDE">
      <w:r>
        <w:separator/>
      </w:r>
    </w:p>
  </w:endnote>
  <w:endnote w:type="continuationSeparator" w:id="0">
    <w:p w:rsidR="003F4ADA" w:rsidRDefault="003F4ADA" w:rsidP="005A5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黑体"/>
    <w:charset w:val="86"/>
    <w:family w:val="modern"/>
    <w:pitch w:val="default"/>
    <w:sig w:usb0="00000000" w:usb1="080E0000" w:usb2="00000000" w:usb3="00000000" w:csb0="00040000" w:csb1="00000000"/>
  </w:font>
  <w:font w:name="楷体_GB2312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DE" w:rsidRDefault="005709B8">
    <w:pPr>
      <w:pStyle w:val="a3"/>
      <w:jc w:val="center"/>
    </w:pPr>
    <w:r>
      <w:fldChar w:fldCharType="begin"/>
    </w:r>
    <w:r w:rsidR="006F01A6">
      <w:instrText xml:space="preserve"> PAGE   \* MERGEFORMAT </w:instrText>
    </w:r>
    <w:r>
      <w:fldChar w:fldCharType="separate"/>
    </w:r>
    <w:r w:rsidR="00BD3016" w:rsidRPr="00BD3016">
      <w:rPr>
        <w:noProof/>
        <w:lang w:val="zh-CN"/>
      </w:rPr>
      <w:t>6</w:t>
    </w:r>
    <w:r>
      <w:fldChar w:fldCharType="end"/>
    </w:r>
  </w:p>
  <w:p w:rsidR="005A5CDE" w:rsidRDefault="005A5CD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ADA" w:rsidRDefault="003F4ADA" w:rsidP="005A5CDE">
      <w:r>
        <w:separator/>
      </w:r>
    </w:p>
  </w:footnote>
  <w:footnote w:type="continuationSeparator" w:id="0">
    <w:p w:rsidR="003F4ADA" w:rsidRDefault="003F4ADA" w:rsidP="005A5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E60B1"/>
    <w:rsid w:val="003135C1"/>
    <w:rsid w:val="003F4ADA"/>
    <w:rsid w:val="004C1756"/>
    <w:rsid w:val="004C7DEE"/>
    <w:rsid w:val="005709B8"/>
    <w:rsid w:val="005A5CDE"/>
    <w:rsid w:val="0060027D"/>
    <w:rsid w:val="00665874"/>
    <w:rsid w:val="006F01A6"/>
    <w:rsid w:val="0072198B"/>
    <w:rsid w:val="009B4036"/>
    <w:rsid w:val="00A76D5C"/>
    <w:rsid w:val="00A8016A"/>
    <w:rsid w:val="00AA0507"/>
    <w:rsid w:val="00BD3016"/>
    <w:rsid w:val="00C3511B"/>
    <w:rsid w:val="00DD0F76"/>
    <w:rsid w:val="00DE4E98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51298C"/>
    <w:rsid w:val="0A957FC2"/>
    <w:rsid w:val="0A987F14"/>
    <w:rsid w:val="0A9C412E"/>
    <w:rsid w:val="0C0E52FB"/>
    <w:rsid w:val="0C1D746B"/>
    <w:rsid w:val="0CF765C2"/>
    <w:rsid w:val="0DBB12C0"/>
    <w:rsid w:val="0DCF7956"/>
    <w:rsid w:val="0E4C2DCD"/>
    <w:rsid w:val="0FCD7514"/>
    <w:rsid w:val="1076065A"/>
    <w:rsid w:val="114745DC"/>
    <w:rsid w:val="114E63E2"/>
    <w:rsid w:val="11E06CC6"/>
    <w:rsid w:val="146E3434"/>
    <w:rsid w:val="153C05A8"/>
    <w:rsid w:val="15872CC1"/>
    <w:rsid w:val="16B74BE1"/>
    <w:rsid w:val="173E580F"/>
    <w:rsid w:val="1A8205D4"/>
    <w:rsid w:val="1C2E697C"/>
    <w:rsid w:val="1CA57469"/>
    <w:rsid w:val="1D1D3BBD"/>
    <w:rsid w:val="1D715489"/>
    <w:rsid w:val="1EEB4653"/>
    <w:rsid w:val="22B01100"/>
    <w:rsid w:val="23A8381B"/>
    <w:rsid w:val="29FB41B0"/>
    <w:rsid w:val="2A7D57A5"/>
    <w:rsid w:val="2B573758"/>
    <w:rsid w:val="2C606010"/>
    <w:rsid w:val="2F8E3307"/>
    <w:rsid w:val="343C0531"/>
    <w:rsid w:val="35E47CE1"/>
    <w:rsid w:val="394A18AB"/>
    <w:rsid w:val="3B211219"/>
    <w:rsid w:val="3CE90DA2"/>
    <w:rsid w:val="3D21528E"/>
    <w:rsid w:val="3DD31F78"/>
    <w:rsid w:val="3DE1031B"/>
    <w:rsid w:val="41EC3064"/>
    <w:rsid w:val="43A554D2"/>
    <w:rsid w:val="44F07305"/>
    <w:rsid w:val="4A2853DB"/>
    <w:rsid w:val="4A423D4E"/>
    <w:rsid w:val="4B0C686D"/>
    <w:rsid w:val="4BE9430F"/>
    <w:rsid w:val="4D2E77EC"/>
    <w:rsid w:val="50CF1CB3"/>
    <w:rsid w:val="57C1184A"/>
    <w:rsid w:val="583E558A"/>
    <w:rsid w:val="5D1528AF"/>
    <w:rsid w:val="61097749"/>
    <w:rsid w:val="6174306B"/>
    <w:rsid w:val="61802A92"/>
    <w:rsid w:val="64596CFC"/>
    <w:rsid w:val="64B83B79"/>
    <w:rsid w:val="66B379B8"/>
    <w:rsid w:val="681F7E42"/>
    <w:rsid w:val="699577AB"/>
    <w:rsid w:val="6A854248"/>
    <w:rsid w:val="6F6274D3"/>
    <w:rsid w:val="711E71E9"/>
    <w:rsid w:val="730E2E81"/>
    <w:rsid w:val="73B82013"/>
    <w:rsid w:val="74587801"/>
    <w:rsid w:val="745F7A22"/>
    <w:rsid w:val="747643CC"/>
    <w:rsid w:val="77982C7E"/>
    <w:rsid w:val="785B4DB6"/>
    <w:rsid w:val="7A926BAD"/>
    <w:rsid w:val="7A9504DA"/>
    <w:rsid w:val="7C4E32C4"/>
    <w:rsid w:val="7E7E2E49"/>
    <w:rsid w:val="7EF54E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D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5A5CDE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5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A5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CharCharCharCharCharCharCharCharCharCharCharCharCharCharCharChar">
    <w:name w:val="Char1 Char Char Char Char Char Char Char Char Char Char Char Char Char Char Char Char"/>
    <w:basedOn w:val="a"/>
    <w:rsid w:val="005A5CDE"/>
    <w:pPr>
      <w:snapToGrid w:val="0"/>
      <w:spacing w:line="360" w:lineRule="auto"/>
      <w:ind w:firstLineChars="200" w:firstLine="200"/>
    </w:pPr>
    <w:rPr>
      <w:rFonts w:eastAsia="仿宋_GB2312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5A5CD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A5CDE"/>
    <w:rPr>
      <w:sz w:val="18"/>
      <w:szCs w:val="18"/>
    </w:rPr>
  </w:style>
  <w:style w:type="character" w:customStyle="1" w:styleId="19">
    <w:name w:val="19"/>
    <w:basedOn w:val="a0"/>
    <w:qFormat/>
    <w:rsid w:val="005A5CDE"/>
    <w:rPr>
      <w:rFonts w:ascii="Times New Roman" w:eastAsia="楷体_GB2312" w:hAnsi="Times New Roman" w:cs="楷体_GB2312" w:hint="default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417</Words>
  <Characters>2381</Characters>
  <Application>Microsoft Office Word</Application>
  <DocSecurity>0</DocSecurity>
  <Lines>19</Lines>
  <Paragraphs>5</Paragraphs>
  <ScaleCrop>false</ScaleCrop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18</cp:revision>
  <cp:lastPrinted>2018-05-15T09:46:00Z</cp:lastPrinted>
  <dcterms:created xsi:type="dcterms:W3CDTF">2017-05-12T03:33:00Z</dcterms:created>
  <dcterms:modified xsi:type="dcterms:W3CDTF">2018-05-15T10:02:00Z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