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A51" w:rsidRDefault="004F078E">
      <w:pPr>
        <w:pStyle w:val="1"/>
        <w:jc w:val="center"/>
      </w:pPr>
      <w:r>
        <w:rPr>
          <w:rFonts w:hint="eastAsia"/>
        </w:rPr>
        <w:t>卢氏县创业贷款担保中心</w:t>
      </w:r>
      <w:r>
        <w:rPr>
          <w:rFonts w:hint="eastAsia"/>
        </w:rPr>
        <w:t>2018</w:t>
      </w:r>
      <w:r>
        <w:rPr>
          <w:rFonts w:hint="eastAsia"/>
        </w:rPr>
        <w:t>年度</w:t>
      </w:r>
    </w:p>
    <w:p w:rsidR="00DD6A51" w:rsidRDefault="004F078E">
      <w:pPr>
        <w:pStyle w:val="1"/>
        <w:ind w:firstLineChars="400" w:firstLine="1767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部门预算公开情况说明</w:t>
      </w:r>
    </w:p>
    <w:p w:rsidR="00DD6A51" w:rsidRDefault="00DD6A51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DD6A51" w:rsidRDefault="004F078E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DD6A51" w:rsidRDefault="004F078E">
      <w:pPr>
        <w:ind w:firstLineChars="200" w:firstLine="640"/>
        <w:rPr>
          <w:rFonts w:eastAsia="仿宋"/>
          <w:sz w:val="30"/>
          <w:szCs w:val="30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卢氏县创业贷款担保中心</w:t>
      </w:r>
      <w:r w:rsidR="00AD2760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是卢氏县人力资源和社会保障局所属事业单位，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内设4个职能科室，共有编制3人，其中：行政编制0人，事业编制3人；在职人员3人，离退休人员0人。主要职责是：</w:t>
      </w:r>
      <w:r>
        <w:rPr>
          <w:rFonts w:eastAsia="仿宋" w:hint="eastAsia"/>
          <w:sz w:val="30"/>
          <w:szCs w:val="30"/>
        </w:rPr>
        <w:t>一是贯彻执行国家小额担保贷款法律、法规、政策，制定县小额担保贷款发放规划目标及政策；二是严格执行小额担保贷款各项政策，确保申请人的贷款资格及创业实体真实、可靠；三是认真做好小额担保贷款宣传、信息资料建档，贷后信息反馈等项工作；四是建立健全担保中心、培训机构、经办银行、财政部门多方联动机制，确保全县小额担保贷款工作健康发展；五是根据政策变化，调整贷款金额与贷款对象，准确、及时为广大创业者提供支持；六是建立小额担保贷款规范化、程序化的贷款目标责任制及贷款办理程序一次性告知等制度。</w:t>
      </w:r>
    </w:p>
    <w:p w:rsidR="00DD6A51" w:rsidRDefault="004F078E">
      <w:pPr>
        <w:ind w:firstLineChars="100" w:firstLine="32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DD6A51" w:rsidRDefault="004F078E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卢氏县创业贷款担保中心2018年一般公共预算收支预算88.6</w:t>
      </w:r>
      <w:r w:rsidR="007740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万元。与 2017 </w:t>
      </w:r>
      <w:r w:rsidR="005948A0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年相比，一般公共预算收支预算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减少441.</w:t>
      </w:r>
      <w:r w:rsidR="007740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万元，减少</w:t>
      </w:r>
      <w:r w:rsidR="007740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83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DD6A51" w:rsidRDefault="004F078E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卢氏县创业贷款担保中心2018年收入合计88.6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其中：一般公共预算88.6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政府性基金0万元，其他收入0万元 。</w:t>
      </w:r>
    </w:p>
    <w:p w:rsidR="00DD6A51" w:rsidRDefault="004F078E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卢氏县创业贷款担保中心2018年支出合计 88.6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22.48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万元，占25%；项目支出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66.15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万元，占75%。</w:t>
      </w:r>
    </w:p>
    <w:p w:rsidR="00DD6A51" w:rsidRDefault="004F078E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DD6A51" w:rsidRDefault="004F078E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卢氏县创业贷款担保中心2018年收入总计88.6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 88.6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万元，与2017年相比，收、支总计各减少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441.62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万元，减少83%。主要原因：基本支出较上年增加1.5 万元，</w:t>
      </w:r>
      <w:bookmarkStart w:id="0" w:name="_GoBack"/>
      <w:bookmarkEnd w:id="0"/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主要原因为单位人员增加。项目支出较上年减少 442.8万元，减少87%。主要原因为2017年</w:t>
      </w:r>
      <w:r w:rsidR="00AD276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上级提前告知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中央、省级贴息</w:t>
      </w:r>
      <w:r w:rsidR="00AD276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转移支付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资金</w:t>
      </w:r>
      <w:r w:rsidR="00AD276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，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</w:t>
      </w:r>
      <w:r w:rsidR="00AD276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没有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DD6A51" w:rsidRDefault="004F078E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卢氏县创业贷款担保中心2018年一般公共预算支出年初预算为 88.6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</w:t>
      </w:r>
      <w:r w:rsidR="008972F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社会保障和就业支出19.64万元，占22.16%，医疗卫生支出1万元，占1.13%。农林水支出66.15万元，占74.64%。住房保障支出1.84万元，占1.1%。</w:t>
      </w:r>
    </w:p>
    <w:p w:rsidR="00DD6A51" w:rsidRDefault="004F078E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卢氏县创业贷款担保中心2018年一般公共预算基本支出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22.48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 w:rsidR="007740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21.48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其他对个人和家庭的补助支出）；机关运行经费：1万元，主要包括：（办公费、印刷费、咨询费、手续费、水费、电费、邮电费、取暖费、物业管理费、差旅费、因公出国（境）费、维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DD6A51" w:rsidRDefault="004F078E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DD6A51" w:rsidRDefault="004F078E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卢氏县创业贷款担保中心2018年政府性基金预算拨款安排支出0万元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DD6A51" w:rsidRDefault="004F078E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卢氏县创业贷款担保中心2018年“三公”经费预算为0.1万元。2018年“三公”经费支出预算数比 2017年预算数增加0.1万元。具体支出情况如下：</w:t>
      </w:r>
    </w:p>
    <w:p w:rsidR="00DD6A51" w:rsidRDefault="004F078E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DD6A51" w:rsidRDefault="004F078E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（二）公务用车购置及运行费 0.1万元，其中，公务用车购置费0万元；公务用车运行维护费 0.1万元，主要用于开展工作所需公务用车的燃料费、维修费、过路过桥费、保险费、安全奖励费用等支出。公务用车购置费预算数预算数比2017年增加（或减少）0万元。公务用车运行维护费预算数比 2017年增加0.1万元，主要原因：单位业务量增多。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（三）公务接待费0万元，主要用于按规定开支的各类公务接待（含外宾接待）支出。预算数和2017年增加（或减少）0万元。主要原因：无接待支出。</w:t>
      </w:r>
    </w:p>
    <w:p w:rsidR="00DD6A51" w:rsidRDefault="004F078E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2018年无政府采购。</w:t>
      </w:r>
    </w:p>
    <w:p w:rsidR="00DD6A51" w:rsidRDefault="004F078E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（五）基本支出：是指为保障机构正常运转、完成日常工作任务所必需的开支，其内容包括人员经费和日常公用经费两部分。</w:t>
      </w:r>
    </w:p>
    <w:p w:rsidR="00DD6A51" w:rsidRDefault="004F078E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DD6A51" w:rsidRDefault="004F078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DD6A51" w:rsidRDefault="004F078E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DD6A51" w:rsidRDefault="004F078E" w:rsidP="00AD2760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按照本单位2018年部门预算项目支出内容涉及的重大项目适当填报。（</w:t>
      </w:r>
      <w:r w:rsidR="00AD2760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卢氏县创业贷款担保中心无重大项目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）                      </w:t>
      </w:r>
    </w:p>
    <w:p w:rsidR="00DD6A51" w:rsidRDefault="004F078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附件：卢氏县创业贷款担保中心2018年度部门预算十张表</w:t>
      </w:r>
    </w:p>
    <w:p w:rsidR="00DD6A51" w:rsidRDefault="00DD6A5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DD6A51" w:rsidRDefault="00DD6A5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DD6A51" w:rsidRDefault="00DD6A5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DD6A51" w:rsidRDefault="00DD6A5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DD6A51" w:rsidRDefault="00DD6A51">
      <w:pPr>
        <w:spacing w:line="360" w:lineRule="auto"/>
        <w:rPr>
          <w:snapToGrid w:val="0"/>
          <w:kern w:val="16"/>
        </w:rPr>
      </w:pPr>
    </w:p>
    <w:p w:rsidR="00DD6A51" w:rsidRDefault="00DD6A51">
      <w:pPr>
        <w:spacing w:line="360" w:lineRule="auto"/>
        <w:rPr>
          <w:snapToGrid w:val="0"/>
          <w:kern w:val="16"/>
        </w:rPr>
      </w:pPr>
    </w:p>
    <w:sectPr w:rsidR="00DD6A51" w:rsidSect="00DD6A51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8D5" w:rsidRDefault="009658D5" w:rsidP="00DD6A51">
      <w:r>
        <w:separator/>
      </w:r>
    </w:p>
  </w:endnote>
  <w:endnote w:type="continuationSeparator" w:id="0">
    <w:p w:rsidR="009658D5" w:rsidRDefault="009658D5" w:rsidP="00DD6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A51" w:rsidRDefault="00E63DA5">
    <w:pPr>
      <w:pStyle w:val="a3"/>
      <w:jc w:val="center"/>
    </w:pPr>
    <w:r>
      <w:fldChar w:fldCharType="begin"/>
    </w:r>
    <w:r w:rsidR="004F078E">
      <w:instrText xml:space="preserve"> PAGE   \* MERGEFORMAT </w:instrText>
    </w:r>
    <w:r>
      <w:fldChar w:fldCharType="separate"/>
    </w:r>
    <w:r w:rsidR="00AD2760" w:rsidRPr="00AD2760">
      <w:rPr>
        <w:noProof/>
        <w:lang w:val="zh-CN"/>
      </w:rPr>
      <w:t>5</w:t>
    </w:r>
    <w:r>
      <w:fldChar w:fldCharType="end"/>
    </w:r>
  </w:p>
  <w:p w:rsidR="00DD6A51" w:rsidRDefault="00DD6A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8D5" w:rsidRDefault="009658D5" w:rsidP="00DD6A51">
      <w:r>
        <w:separator/>
      </w:r>
    </w:p>
  </w:footnote>
  <w:footnote w:type="continuationSeparator" w:id="0">
    <w:p w:rsidR="009658D5" w:rsidRDefault="009658D5" w:rsidP="00DD6A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3135C1"/>
    <w:rsid w:val="00434C4A"/>
    <w:rsid w:val="004C1756"/>
    <w:rsid w:val="004C7DEE"/>
    <w:rsid w:val="004F078E"/>
    <w:rsid w:val="004F6934"/>
    <w:rsid w:val="0057619E"/>
    <w:rsid w:val="005948A0"/>
    <w:rsid w:val="0060027D"/>
    <w:rsid w:val="006D7ABD"/>
    <w:rsid w:val="006F1220"/>
    <w:rsid w:val="0072198B"/>
    <w:rsid w:val="00746840"/>
    <w:rsid w:val="007740C8"/>
    <w:rsid w:val="008972F4"/>
    <w:rsid w:val="009658D5"/>
    <w:rsid w:val="009B4036"/>
    <w:rsid w:val="00A76D5C"/>
    <w:rsid w:val="00A8016A"/>
    <w:rsid w:val="00AA0507"/>
    <w:rsid w:val="00AD2760"/>
    <w:rsid w:val="00BE214E"/>
    <w:rsid w:val="00C3511B"/>
    <w:rsid w:val="00DD0F76"/>
    <w:rsid w:val="00DD6A51"/>
    <w:rsid w:val="00DF7176"/>
    <w:rsid w:val="00DF7C00"/>
    <w:rsid w:val="00E066E7"/>
    <w:rsid w:val="00E63DA5"/>
    <w:rsid w:val="00E904BD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3E2C31D7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A5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DD6A51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D6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D6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DD6A5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D6A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7</cp:revision>
  <cp:lastPrinted>2018-05-15T02:46:00Z</cp:lastPrinted>
  <dcterms:created xsi:type="dcterms:W3CDTF">2018-05-14T01:14:00Z</dcterms:created>
  <dcterms:modified xsi:type="dcterms:W3CDTF">2018-05-15T02:58:00Z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