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3FA" w:rsidRDefault="00A96CE8">
      <w:pPr>
        <w:pStyle w:val="1"/>
        <w:jc w:val="center"/>
        <w:rPr>
          <w:rFonts w:hint="eastAsia"/>
        </w:rPr>
      </w:pPr>
      <w:r>
        <w:rPr>
          <w:rFonts w:hint="eastAsia"/>
        </w:rPr>
        <w:t>卢氏县医药总公司</w:t>
      </w:r>
      <w:r>
        <w:rPr>
          <w:rFonts w:hint="eastAsia"/>
        </w:rPr>
        <w:t>2018</w:t>
      </w:r>
      <w:r>
        <w:rPr>
          <w:rFonts w:hint="eastAsia"/>
        </w:rPr>
        <w:t>年度部门预算</w:t>
      </w:r>
    </w:p>
    <w:p w:rsidR="00EF01AD" w:rsidRPr="00CA13FA" w:rsidRDefault="00A96CE8" w:rsidP="00CA13FA">
      <w:pPr>
        <w:pStyle w:val="1"/>
        <w:jc w:val="center"/>
      </w:pPr>
      <w:r>
        <w:rPr>
          <w:rFonts w:hint="eastAsia"/>
        </w:rPr>
        <w:t>公开情况说明</w:t>
      </w:r>
    </w:p>
    <w:p w:rsidR="00EF01AD" w:rsidRDefault="00EF01AD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EF01AD" w:rsidRDefault="00A96CE8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EF01AD" w:rsidRDefault="00A96CE8">
      <w:pPr>
        <w:spacing w:line="7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卢氏县医药总公司内设3个职能科室，共有编制4人，其中：行政编制0人，事业编制4人；在职人员4人，离退休人员0人。主要职责是：</w:t>
      </w:r>
      <w:r>
        <w:rPr>
          <w:rFonts w:ascii="仿宋" w:eastAsia="仿宋" w:hAnsi="仿宋" w:hint="eastAsia"/>
          <w:sz w:val="32"/>
          <w:szCs w:val="32"/>
        </w:rPr>
        <w:t>贯彻执行国家关于医药流通行业的方针、政策、法规，促进全县医药商业的发展；指导协调所属企业开展药品经营；培育、发展和完善全县医药市场体系，规范市场经营行为、提出规划市场网点布局的意见，维护行业公平竞争秩序；负责医药系统领导班子及干部队伍的建设、安全生产、信访稳定、专业岗位培训等工作；负责全县药品储备工作，提出药品储备品种、数量及转换意见，对承储企业进行监督、检查，协调处理灾情、疫情时药械的紧急调度；承办县委、县政府交办的其他事项</w:t>
      </w:r>
      <w:r>
        <w:rPr>
          <w:rFonts w:ascii="仿宋_GB2312" w:eastAsia="仿宋_GB2312" w:hint="eastAsia"/>
          <w:sz w:val="32"/>
          <w:szCs w:val="32"/>
        </w:rPr>
        <w:t>。</w:t>
      </w:r>
    </w:p>
    <w:p w:rsidR="00EF01AD" w:rsidRDefault="00A96CE8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EF01AD" w:rsidRDefault="00A96CE8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卢氏县医药总公司2018年一般公共预算收支预算57.96万元。与 2017 年相比，一般公共预算收支预算增加28.48万元，增加9</w:t>
      </w:r>
      <w:r w:rsidR="003072FB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6.6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%。</w:t>
      </w:r>
    </w:p>
    <w:p w:rsidR="00EF01AD" w:rsidRDefault="00A96CE8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卢氏县医药总公司2018年收入合计57.96万元，其中：一般公共预算57.96万元;  政府性基金0万元，其他收入0万元 。</w:t>
      </w:r>
    </w:p>
    <w:p w:rsidR="00EF01AD" w:rsidRDefault="00A96CE8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卢氏县医药总公司2018年支出合计 57.96万元，其中：基本支出15.96万元，占28%；项目支出 42万元，占72%。</w:t>
      </w:r>
    </w:p>
    <w:p w:rsidR="00EF01AD" w:rsidRDefault="00A96CE8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EF01AD" w:rsidRDefault="00A96CE8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卢氏县医药总公司2018年收入总计57.96万元，支出总计 57.96万元，与2017年相比，收、支总计各增加28.48万元，增加</w:t>
      </w:r>
      <w:r w:rsidR="003072F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96.6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%。主要原因：基本支出较上年减少13.52万元，主要原因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一是非税收入安排支出口径调整，2018年非税收入安排支出全部列项目支出，二是人员减少；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项目支出较上年增加42万元，增加100%。主要原因为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非税收入安排支出口径调整，2018年非税收入安排支出全部列项目支出；二是非税收入增加，安排的指导协调所属企业开展药品经营、信访稳定、专业岗位培训工作等经费支出相应增加。</w:t>
      </w:r>
    </w:p>
    <w:p w:rsidR="00EF01AD" w:rsidRDefault="00A96CE8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卢氏县医药总公司2018年一般公共预算支出年初预算为 57.96万元。主要用于以下方面：</w:t>
      </w:r>
      <w:r w:rsidR="003072F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社会保障和就业支出2.12万元，占3.66%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</w:t>
      </w:r>
      <w:r w:rsidR="003072F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医疗卫生支出54.58万元，占94.17%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</w:t>
      </w:r>
      <w:r w:rsidR="003072FB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住房保障支出1.27万元，占2.2%。</w:t>
      </w:r>
    </w:p>
    <w:p w:rsidR="00EF01AD" w:rsidRDefault="00A96CE8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卢氏县医药总公司2018年一般公共预算基本支出15.96万元，其中：人员经费 14.8 万元，主要包括：（基本工资、津贴补贴、 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1.16万元，主要包括：（办公费、印刷费、咨询费、手续费、水费、电费、邮电费、取暖费、物业管理费、差旅费、因公出国（境）费、维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 w:rsidR="00EF01AD" w:rsidRDefault="00A96CE8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EF01AD" w:rsidRDefault="00A96CE8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卢氏县医药总公司2018年政府性基金预算拨款安排支出0万元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EF01AD" w:rsidRDefault="00A96CE8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 “三公”经费支出预算情况及增减变化原因说明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卢氏县医药总公司2018年“三公”经费预算为0万元。2018年“三公”经费支出预算数比 2017年预算数增加（或减少）0万元。具体支出情况如下：</w:t>
      </w:r>
    </w:p>
    <w:p w:rsidR="00EF01AD" w:rsidRDefault="00A96CE8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因公出国（境）费0万元，主要用于单位工作人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员公务出国（境）的住宿费、旅费、伙食补助费、杂费、培训费等支出。预算数比2017年增加（或减少）0万元。</w:t>
      </w:r>
    </w:p>
    <w:p w:rsidR="00EF01AD" w:rsidRDefault="00A96CE8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 0万元，其中，公务用车购置费0万元；公务用车运行维护费 0万元，主要用于开展工作所需公务用车的燃料费、维修费、过路过桥费、保险费、安全奖励费用等支出。公务用车购置费预算数预算数比2017年增加（或减少）0万元。公务用车运行维护费预算数比 2017年增加（或减少）0万元。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（三）公务接待费0万元，主要用于按规定开支的各类公务接待（含外宾接待）支出。预算数和2017年增加（或减少）0万元。</w:t>
      </w:r>
    </w:p>
    <w:p w:rsidR="00EF01AD" w:rsidRDefault="00A96CE8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2018年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无政府采购。</w:t>
      </w:r>
    </w:p>
    <w:p w:rsidR="00EF01AD" w:rsidRDefault="00A96CE8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定提取、用于弥补以后年度收 支差额的基金）弥补当年收支缺口的资金。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 w:rsidR="00EF01AD" w:rsidRDefault="00A96CE8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EF01AD" w:rsidRDefault="00A96CE8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EF01AD" w:rsidRDefault="00A96CE8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按照本单位2018年部门预算项目支出内容涉及的重大项目适当填报。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卢氏县医药总公司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 w:rsidR="00F401B0"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无重大项目。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             </w:t>
      </w:r>
    </w:p>
    <w:p w:rsidR="00EF01AD" w:rsidRDefault="00EF01AD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EF01AD" w:rsidRDefault="00A96CE8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</w:t>
      </w:r>
      <w:r w:rsidR="00F401B0" w:rsidRPr="00F401B0">
        <w:rPr>
          <w:rFonts w:ascii="黑体" w:eastAsia="黑体" w:hAnsi="黑体" w:hint="eastAsia"/>
          <w:snapToGrid w:val="0"/>
          <w:kern w:val="16"/>
          <w:sz w:val="32"/>
          <w:szCs w:val="32"/>
        </w:rPr>
        <w:t>卢氏县医药总公司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2018年度部门预算十张表</w:t>
      </w:r>
    </w:p>
    <w:p w:rsidR="00EF01AD" w:rsidRDefault="00EF01AD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F01AD" w:rsidRDefault="00EF01A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F01AD" w:rsidRDefault="00EF01A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F01AD" w:rsidRDefault="00EF01AD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EF01AD" w:rsidRDefault="00EF01AD">
      <w:pPr>
        <w:spacing w:line="360" w:lineRule="auto"/>
        <w:rPr>
          <w:snapToGrid w:val="0"/>
          <w:kern w:val="16"/>
        </w:rPr>
      </w:pPr>
    </w:p>
    <w:p w:rsidR="00EF01AD" w:rsidRDefault="00EF01AD">
      <w:pPr>
        <w:spacing w:line="360" w:lineRule="auto"/>
        <w:rPr>
          <w:snapToGrid w:val="0"/>
          <w:kern w:val="16"/>
        </w:rPr>
      </w:pPr>
    </w:p>
    <w:sectPr w:rsidR="00EF01AD" w:rsidSect="00EF01AD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60B1" w:rsidRDefault="000960B1" w:rsidP="00EF01AD">
      <w:r>
        <w:separator/>
      </w:r>
    </w:p>
  </w:endnote>
  <w:endnote w:type="continuationSeparator" w:id="0">
    <w:p w:rsidR="000960B1" w:rsidRDefault="000960B1" w:rsidP="00EF0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1AD" w:rsidRDefault="00004947">
    <w:pPr>
      <w:pStyle w:val="a3"/>
      <w:jc w:val="center"/>
    </w:pPr>
    <w:r>
      <w:fldChar w:fldCharType="begin"/>
    </w:r>
    <w:r w:rsidR="00A96CE8">
      <w:instrText xml:space="preserve"> PAGE   \* MERGEFORMAT </w:instrText>
    </w:r>
    <w:r>
      <w:fldChar w:fldCharType="separate"/>
    </w:r>
    <w:r w:rsidR="00F401B0" w:rsidRPr="00F401B0">
      <w:rPr>
        <w:noProof/>
        <w:lang w:val="zh-CN"/>
      </w:rPr>
      <w:t>6</w:t>
    </w:r>
    <w:r>
      <w:fldChar w:fldCharType="end"/>
    </w:r>
  </w:p>
  <w:p w:rsidR="00EF01AD" w:rsidRDefault="00EF01A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60B1" w:rsidRDefault="000960B1" w:rsidP="00EF01AD">
      <w:r>
        <w:separator/>
      </w:r>
    </w:p>
  </w:footnote>
  <w:footnote w:type="continuationSeparator" w:id="0">
    <w:p w:rsidR="000960B1" w:rsidRDefault="000960B1" w:rsidP="00EF01A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4C7DEE"/>
    <w:rsid w:val="00004947"/>
    <w:rsid w:val="000907BF"/>
    <w:rsid w:val="000960B1"/>
    <w:rsid w:val="00127393"/>
    <w:rsid w:val="002E1A47"/>
    <w:rsid w:val="003072FB"/>
    <w:rsid w:val="003135C1"/>
    <w:rsid w:val="004C1756"/>
    <w:rsid w:val="004C7DEE"/>
    <w:rsid w:val="0060027D"/>
    <w:rsid w:val="0072198B"/>
    <w:rsid w:val="009B4036"/>
    <w:rsid w:val="00A223C2"/>
    <w:rsid w:val="00A76D5C"/>
    <w:rsid w:val="00A8016A"/>
    <w:rsid w:val="00A96CE8"/>
    <w:rsid w:val="00AA0507"/>
    <w:rsid w:val="00B239DC"/>
    <w:rsid w:val="00C3511B"/>
    <w:rsid w:val="00CA13FA"/>
    <w:rsid w:val="00D602F6"/>
    <w:rsid w:val="00DD0F76"/>
    <w:rsid w:val="00DF7176"/>
    <w:rsid w:val="00DF7C00"/>
    <w:rsid w:val="00E066E7"/>
    <w:rsid w:val="00E904BD"/>
    <w:rsid w:val="00EF01AD"/>
    <w:rsid w:val="00F401B0"/>
    <w:rsid w:val="00F757B2"/>
    <w:rsid w:val="00F86F2F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5D64FAB"/>
    <w:rsid w:val="16B74BE1"/>
    <w:rsid w:val="173E580F"/>
    <w:rsid w:val="1A8205D4"/>
    <w:rsid w:val="1C2E697C"/>
    <w:rsid w:val="1D1D3BBD"/>
    <w:rsid w:val="1D715489"/>
    <w:rsid w:val="1EEB4653"/>
    <w:rsid w:val="25CE355D"/>
    <w:rsid w:val="29FB41B0"/>
    <w:rsid w:val="2C606010"/>
    <w:rsid w:val="2F8E3307"/>
    <w:rsid w:val="3B211219"/>
    <w:rsid w:val="3DE1031B"/>
    <w:rsid w:val="41EC3064"/>
    <w:rsid w:val="4B0C686D"/>
    <w:rsid w:val="50CF1CB3"/>
    <w:rsid w:val="57C1184A"/>
    <w:rsid w:val="5F965029"/>
    <w:rsid w:val="605E4A72"/>
    <w:rsid w:val="61097749"/>
    <w:rsid w:val="64B83B79"/>
    <w:rsid w:val="6E2F7982"/>
    <w:rsid w:val="711E71E9"/>
    <w:rsid w:val="74587801"/>
    <w:rsid w:val="745F7A22"/>
    <w:rsid w:val="785B4DB6"/>
    <w:rsid w:val="7C4E32C4"/>
    <w:rsid w:val="7DEC5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1AD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EF01AD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EF01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EF01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EF01AD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EF01A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384</Words>
  <Characters>2194</Characters>
  <Application>Microsoft Office Word</Application>
  <DocSecurity>0</DocSecurity>
  <Lines>18</Lines>
  <Paragraphs>5</Paragraphs>
  <ScaleCrop>false</ScaleCrop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6</cp:revision>
  <cp:lastPrinted>2018-05-16T01:39:00Z</cp:lastPrinted>
  <dcterms:created xsi:type="dcterms:W3CDTF">2018-05-14T01:12:00Z</dcterms:created>
  <dcterms:modified xsi:type="dcterms:W3CDTF">2018-05-16T01:47:00Z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