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B98" w:rsidRDefault="00640511">
      <w:pPr>
        <w:pStyle w:val="1"/>
        <w:jc w:val="center"/>
      </w:pPr>
      <w:r>
        <w:rPr>
          <w:rFonts w:hint="eastAsia"/>
        </w:rPr>
        <w:t>卢氏县林业局</w:t>
      </w:r>
      <w:r>
        <w:rPr>
          <w:rFonts w:hint="eastAsia"/>
        </w:rPr>
        <w:t>2018</w:t>
      </w:r>
      <w:r>
        <w:rPr>
          <w:rFonts w:hint="eastAsia"/>
        </w:rPr>
        <w:t>年度部门预算公开</w:t>
      </w:r>
    </w:p>
    <w:p w:rsidR="00385B98" w:rsidRDefault="00640511">
      <w:pPr>
        <w:pStyle w:val="1"/>
        <w:jc w:val="center"/>
        <w:rPr>
          <w:rFonts w:ascii="黑体" w:eastAsia="黑体" w:hAnsi="黑体" w:cs="黑体"/>
          <w:snapToGrid w:val="0"/>
          <w:kern w:val="16"/>
          <w:sz w:val="32"/>
          <w:szCs w:val="32"/>
        </w:rPr>
      </w:pPr>
      <w:r>
        <w:rPr>
          <w:rFonts w:hint="eastAsia"/>
        </w:rPr>
        <w:t>情</w:t>
      </w:r>
      <w:r>
        <w:rPr>
          <w:rFonts w:hint="eastAsia"/>
        </w:rPr>
        <w:t xml:space="preserve"> </w:t>
      </w:r>
      <w:r>
        <w:rPr>
          <w:rFonts w:hint="eastAsia"/>
        </w:rPr>
        <w:t>况</w:t>
      </w:r>
      <w:r>
        <w:rPr>
          <w:rFonts w:hint="eastAsia"/>
        </w:rPr>
        <w:t xml:space="preserve"> </w:t>
      </w:r>
      <w:r>
        <w:rPr>
          <w:rFonts w:hint="eastAsia"/>
        </w:rPr>
        <w:t>说</w:t>
      </w:r>
      <w:r>
        <w:rPr>
          <w:rFonts w:hint="eastAsia"/>
        </w:rPr>
        <w:t xml:space="preserve"> </w:t>
      </w:r>
      <w:r>
        <w:rPr>
          <w:rFonts w:hint="eastAsia"/>
        </w:rPr>
        <w:t>明</w:t>
      </w:r>
    </w:p>
    <w:p w:rsidR="00385B98" w:rsidRDefault="00385B98">
      <w:pPr>
        <w:outlineLvl w:val="0"/>
        <w:rPr>
          <w:rFonts w:ascii="黑体" w:eastAsia="黑体" w:hAnsi="黑体" w:cs="黑体"/>
          <w:snapToGrid w:val="0"/>
          <w:kern w:val="16"/>
          <w:sz w:val="32"/>
          <w:szCs w:val="32"/>
        </w:rPr>
      </w:pPr>
    </w:p>
    <w:p w:rsidR="00385B98" w:rsidRDefault="00640511">
      <w:pPr>
        <w:numPr>
          <w:ilvl w:val="0"/>
          <w:numId w:val="1"/>
        </w:numPr>
        <w:ind w:firstLineChars="200" w:firstLine="640"/>
        <w:outlineLvl w:val="0"/>
        <w:rPr>
          <w:rFonts w:ascii="黑体" w:eastAsia="黑体" w:hAnsi="黑体" w:cs="黑体"/>
          <w:snapToGrid w:val="0"/>
          <w:kern w:val="16"/>
          <w:sz w:val="32"/>
          <w:szCs w:val="32"/>
        </w:rPr>
      </w:pPr>
      <w:r>
        <w:rPr>
          <w:rFonts w:ascii="黑体" w:eastAsia="黑体" w:hAnsi="黑体" w:cs="黑体" w:hint="eastAsia"/>
          <w:snapToGrid w:val="0"/>
          <w:kern w:val="16"/>
          <w:sz w:val="32"/>
          <w:szCs w:val="32"/>
        </w:rPr>
        <w:t>部门主要职责及机构设置情况</w:t>
      </w:r>
    </w:p>
    <w:p w:rsidR="0019190C" w:rsidRPr="00977A61" w:rsidRDefault="0019190C" w:rsidP="0019190C">
      <w:pPr>
        <w:ind w:firstLineChars="200" w:firstLine="640"/>
        <w:rPr>
          <w:rFonts w:ascii="仿宋" w:eastAsia="仿宋" w:hAnsi="仿宋" w:cs="仿宋"/>
          <w:bCs/>
          <w:snapToGrid w:val="0"/>
          <w:kern w:val="16"/>
          <w:sz w:val="32"/>
          <w:szCs w:val="32"/>
        </w:rPr>
      </w:pPr>
      <w:r w:rsidRPr="00977A61">
        <w:rPr>
          <w:rFonts w:ascii="仿宋" w:eastAsia="仿宋" w:hAnsi="仿宋" w:cs="仿宋" w:hint="eastAsia"/>
          <w:bCs/>
          <w:snapToGrid w:val="0"/>
          <w:kern w:val="16"/>
          <w:sz w:val="32"/>
          <w:szCs w:val="32"/>
        </w:rPr>
        <w:t>卢氏县林业局机关内设5职能科室和10个归口管理预算单位,3个独立预算二级机构。</w:t>
      </w:r>
      <w:r w:rsidR="005D16C1" w:rsidRPr="00977A61">
        <w:rPr>
          <w:rFonts w:ascii="仿宋" w:eastAsia="仿宋" w:hAnsi="仿宋" w:cs="仿宋" w:hint="eastAsia"/>
          <w:bCs/>
          <w:snapToGrid w:val="0"/>
          <w:kern w:val="16"/>
          <w:sz w:val="32"/>
          <w:szCs w:val="32"/>
        </w:rPr>
        <w:t>共有编制</w:t>
      </w:r>
      <w:r w:rsidR="00C81F35" w:rsidRPr="00977A61">
        <w:rPr>
          <w:rFonts w:ascii="仿宋" w:eastAsia="仿宋" w:hAnsi="仿宋" w:cs="仿宋" w:hint="eastAsia"/>
          <w:bCs/>
          <w:snapToGrid w:val="0"/>
          <w:kern w:val="16"/>
          <w:sz w:val="32"/>
          <w:szCs w:val="32"/>
        </w:rPr>
        <w:t>111</w:t>
      </w:r>
      <w:r w:rsidR="005D16C1" w:rsidRPr="00977A61">
        <w:rPr>
          <w:rFonts w:ascii="仿宋" w:eastAsia="仿宋" w:hAnsi="仿宋" w:cs="仿宋" w:hint="eastAsia"/>
          <w:bCs/>
          <w:snapToGrid w:val="0"/>
          <w:kern w:val="16"/>
          <w:sz w:val="32"/>
          <w:szCs w:val="32"/>
        </w:rPr>
        <w:t>人，其中：行政编制</w:t>
      </w:r>
      <w:r w:rsidR="009B45B8" w:rsidRPr="00977A61">
        <w:rPr>
          <w:rFonts w:ascii="仿宋" w:eastAsia="仿宋" w:hAnsi="仿宋" w:cs="仿宋" w:hint="eastAsia"/>
          <w:bCs/>
          <w:snapToGrid w:val="0"/>
          <w:kern w:val="16"/>
          <w:sz w:val="32"/>
          <w:szCs w:val="32"/>
        </w:rPr>
        <w:t>11</w:t>
      </w:r>
      <w:r w:rsidR="005D16C1" w:rsidRPr="00977A61">
        <w:rPr>
          <w:rFonts w:ascii="仿宋" w:eastAsia="仿宋" w:hAnsi="仿宋" w:cs="仿宋" w:hint="eastAsia"/>
          <w:bCs/>
          <w:snapToGrid w:val="0"/>
          <w:kern w:val="16"/>
          <w:sz w:val="32"/>
          <w:szCs w:val="32"/>
        </w:rPr>
        <w:t>人，</w:t>
      </w:r>
      <w:r w:rsidR="009B45B8" w:rsidRPr="00977A61">
        <w:rPr>
          <w:rFonts w:ascii="仿宋" w:eastAsia="仿宋" w:hAnsi="仿宋" w:cs="仿宋" w:hint="eastAsia"/>
          <w:bCs/>
          <w:snapToGrid w:val="0"/>
          <w:kern w:val="16"/>
          <w:sz w:val="32"/>
          <w:szCs w:val="32"/>
        </w:rPr>
        <w:t>参公5人，</w:t>
      </w:r>
      <w:r w:rsidR="005D16C1" w:rsidRPr="00977A61">
        <w:rPr>
          <w:rFonts w:ascii="仿宋" w:eastAsia="仿宋" w:hAnsi="仿宋" w:cs="仿宋" w:hint="eastAsia"/>
          <w:bCs/>
          <w:snapToGrid w:val="0"/>
          <w:kern w:val="16"/>
          <w:sz w:val="32"/>
          <w:szCs w:val="32"/>
        </w:rPr>
        <w:t>事业编制</w:t>
      </w:r>
      <w:r w:rsidR="00C81F35" w:rsidRPr="00977A61">
        <w:rPr>
          <w:rFonts w:ascii="仿宋" w:eastAsia="仿宋" w:hAnsi="仿宋" w:cs="仿宋" w:hint="eastAsia"/>
          <w:bCs/>
          <w:snapToGrid w:val="0"/>
          <w:kern w:val="16"/>
          <w:sz w:val="32"/>
          <w:szCs w:val="32"/>
        </w:rPr>
        <w:t>95</w:t>
      </w:r>
      <w:r w:rsidR="005D16C1" w:rsidRPr="00977A61">
        <w:rPr>
          <w:rFonts w:ascii="仿宋" w:eastAsia="仿宋" w:hAnsi="仿宋" w:cs="仿宋" w:hint="eastAsia"/>
          <w:bCs/>
          <w:snapToGrid w:val="0"/>
          <w:kern w:val="16"/>
          <w:sz w:val="32"/>
          <w:szCs w:val="32"/>
        </w:rPr>
        <w:t>人；在职人员</w:t>
      </w:r>
      <w:r w:rsidR="0030009A" w:rsidRPr="00977A61">
        <w:rPr>
          <w:rFonts w:ascii="仿宋" w:eastAsia="仿宋" w:hAnsi="仿宋" w:cs="仿宋" w:hint="eastAsia"/>
          <w:bCs/>
          <w:snapToGrid w:val="0"/>
          <w:kern w:val="16"/>
          <w:sz w:val="32"/>
          <w:szCs w:val="32"/>
        </w:rPr>
        <w:t>109</w:t>
      </w:r>
      <w:r w:rsidR="005D16C1" w:rsidRPr="00977A61">
        <w:rPr>
          <w:rFonts w:ascii="仿宋" w:eastAsia="仿宋" w:hAnsi="仿宋" w:cs="仿宋" w:hint="eastAsia"/>
          <w:bCs/>
          <w:snapToGrid w:val="0"/>
          <w:kern w:val="16"/>
          <w:sz w:val="32"/>
          <w:szCs w:val="32"/>
        </w:rPr>
        <w:t>人</w:t>
      </w:r>
      <w:r w:rsidR="003F15C9" w:rsidRPr="00977A61">
        <w:rPr>
          <w:rFonts w:ascii="仿宋" w:eastAsia="仿宋" w:hAnsi="仿宋" w:cs="仿宋" w:hint="eastAsia"/>
          <w:bCs/>
          <w:snapToGrid w:val="0"/>
          <w:kern w:val="16"/>
          <w:sz w:val="32"/>
          <w:szCs w:val="32"/>
        </w:rPr>
        <w:t>（其中行政19人，参公3人，事业全供47人；差供给16人： 25%差供13人，40%差供3人；自收自支24人）</w:t>
      </w:r>
      <w:r w:rsidR="005D16C1" w:rsidRPr="00977A61">
        <w:rPr>
          <w:rFonts w:ascii="仿宋" w:eastAsia="仿宋" w:hAnsi="仿宋" w:cs="仿宋" w:hint="eastAsia"/>
          <w:bCs/>
          <w:snapToGrid w:val="0"/>
          <w:kern w:val="16"/>
          <w:sz w:val="32"/>
          <w:szCs w:val="32"/>
        </w:rPr>
        <w:t>，离退休人员</w:t>
      </w:r>
      <w:r w:rsidR="0030009A" w:rsidRPr="00977A61">
        <w:rPr>
          <w:rFonts w:ascii="仿宋" w:eastAsia="仿宋" w:hAnsi="仿宋" w:cs="仿宋" w:hint="eastAsia"/>
          <w:bCs/>
          <w:snapToGrid w:val="0"/>
          <w:kern w:val="16"/>
          <w:sz w:val="32"/>
          <w:szCs w:val="32"/>
        </w:rPr>
        <w:t>55</w:t>
      </w:r>
      <w:r w:rsidR="005D16C1" w:rsidRPr="00977A61">
        <w:rPr>
          <w:rFonts w:ascii="仿宋" w:eastAsia="仿宋" w:hAnsi="仿宋" w:cs="仿宋" w:hint="eastAsia"/>
          <w:bCs/>
          <w:snapToGrid w:val="0"/>
          <w:kern w:val="16"/>
          <w:sz w:val="32"/>
          <w:szCs w:val="32"/>
        </w:rPr>
        <w:t>人。主要职责是：</w:t>
      </w:r>
    </w:p>
    <w:p w:rsidR="0019190C" w:rsidRPr="00977A61" w:rsidRDefault="0019190C" w:rsidP="0019190C">
      <w:pPr>
        <w:ind w:firstLineChars="250" w:firstLine="800"/>
        <w:rPr>
          <w:rFonts w:ascii="仿宋" w:eastAsia="仿宋" w:hAnsi="仿宋" w:cs="仿宋"/>
          <w:bCs/>
          <w:snapToGrid w:val="0"/>
          <w:kern w:val="16"/>
          <w:sz w:val="32"/>
          <w:szCs w:val="32"/>
        </w:rPr>
      </w:pPr>
      <w:r w:rsidRPr="00977A61">
        <w:rPr>
          <w:rFonts w:ascii="仿宋" w:eastAsia="仿宋" w:hAnsi="仿宋" w:cs="仿宋" w:hint="eastAsia"/>
          <w:bCs/>
          <w:snapToGrid w:val="0"/>
          <w:kern w:val="16"/>
          <w:sz w:val="32"/>
          <w:szCs w:val="32"/>
        </w:rPr>
        <w:t>1、负责全县林业及生态建设监督管理。组织拟订全县林业及其生态建设的发展战略、中长期规划，起草相关规范性文件并组织实施。承担林业生态文明建设有关工作。负责县级林业资金（基金）的筹集和管理；监管全县林业资金的使用，指导林业经济体制改革。</w:t>
      </w:r>
    </w:p>
    <w:p w:rsidR="0019190C" w:rsidRPr="00977A61" w:rsidRDefault="0019190C" w:rsidP="0019190C">
      <w:pPr>
        <w:ind w:firstLineChars="250" w:firstLine="800"/>
        <w:rPr>
          <w:rFonts w:ascii="仿宋" w:eastAsia="仿宋" w:hAnsi="仿宋" w:cs="仿宋"/>
          <w:bCs/>
          <w:snapToGrid w:val="0"/>
          <w:kern w:val="16"/>
          <w:sz w:val="32"/>
          <w:szCs w:val="32"/>
        </w:rPr>
      </w:pPr>
      <w:r w:rsidRPr="00977A61">
        <w:rPr>
          <w:rFonts w:ascii="仿宋" w:eastAsia="仿宋" w:hAnsi="仿宋" w:cs="仿宋" w:hint="eastAsia"/>
          <w:bCs/>
          <w:snapToGrid w:val="0"/>
          <w:kern w:val="16"/>
          <w:sz w:val="32"/>
          <w:szCs w:val="32"/>
        </w:rPr>
        <w:t>2、组织、协调、指导和监督全县造林绿化工作。制定全县造林绿化的指导性规划，监督执行相关标准，指导各类公益林和商品林（包括用材林、防护林、经济林、薪炭林、药用林、竹林及其他用途林）的培育和管理。组织实施植树造林、封山育林和采用植树种草等生物措施防治水土流失工作。组织全县退耕还林工程后续产业建设。组织指导林业生态乡（镇）、村创建以及飞机播种造林工作。指导、监督全</w:t>
      </w:r>
      <w:r w:rsidRPr="00977A61">
        <w:rPr>
          <w:rFonts w:ascii="仿宋" w:eastAsia="仿宋" w:hAnsi="仿宋" w:cs="仿宋" w:hint="eastAsia"/>
          <w:bCs/>
          <w:snapToGrid w:val="0"/>
          <w:kern w:val="16"/>
          <w:sz w:val="32"/>
          <w:szCs w:val="32"/>
        </w:rPr>
        <w:lastRenderedPageBreak/>
        <w:t>民义务植树、造林绿化工作。承担全县花卉管理工作。</w:t>
      </w:r>
    </w:p>
    <w:p w:rsidR="0019190C" w:rsidRPr="00977A61" w:rsidRDefault="0019190C" w:rsidP="0019190C">
      <w:pPr>
        <w:ind w:firstLineChars="250" w:firstLine="800"/>
        <w:rPr>
          <w:rFonts w:ascii="仿宋" w:eastAsia="仿宋" w:hAnsi="仿宋" w:cs="仿宋"/>
          <w:bCs/>
          <w:snapToGrid w:val="0"/>
          <w:kern w:val="16"/>
          <w:sz w:val="32"/>
          <w:szCs w:val="32"/>
        </w:rPr>
      </w:pPr>
      <w:r w:rsidRPr="00977A61">
        <w:rPr>
          <w:rFonts w:ascii="仿宋" w:eastAsia="仿宋" w:hAnsi="仿宋" w:cs="仿宋" w:hint="eastAsia"/>
          <w:bCs/>
          <w:snapToGrid w:val="0"/>
          <w:kern w:val="16"/>
          <w:sz w:val="32"/>
          <w:szCs w:val="32"/>
        </w:rPr>
        <w:t>3、承担森林资源保护发展、监督管理责任。组织编制并监督执行森林采伐限额方案，监督检查林木、竹林的凭证采伐与运输。组织开展森林资源、陆生野生动植物资源、湿地和荒漠调查、动态监测和评估，并发布相关信息。组织拟定林地保护利用规划并监督实施，承担依法应由县政府批准的林地征用、占用进行初审工作，负责森林资源有偿使用并监督林地开发利用工作。组织、协调、指导和监督全县湿地保护、荒漠化防治工作。</w:t>
      </w:r>
    </w:p>
    <w:p w:rsidR="0019190C" w:rsidRPr="00977A61" w:rsidRDefault="0019190C" w:rsidP="0019190C">
      <w:pPr>
        <w:ind w:firstLineChars="250" w:firstLine="800"/>
        <w:rPr>
          <w:rFonts w:ascii="仿宋" w:eastAsia="仿宋" w:hAnsi="仿宋" w:cs="仿宋"/>
          <w:bCs/>
          <w:snapToGrid w:val="0"/>
          <w:kern w:val="16"/>
          <w:sz w:val="32"/>
          <w:szCs w:val="32"/>
        </w:rPr>
      </w:pPr>
      <w:r w:rsidRPr="00977A61">
        <w:rPr>
          <w:rFonts w:ascii="仿宋" w:eastAsia="仿宋" w:hAnsi="仿宋" w:cs="仿宋" w:hint="eastAsia"/>
          <w:bCs/>
          <w:snapToGrid w:val="0"/>
          <w:kern w:val="16"/>
          <w:sz w:val="32"/>
          <w:szCs w:val="32"/>
        </w:rPr>
        <w:t>4、组织、协调、指导、监督全县森林防火工作。组织、协调、指导专业森林火灾扑救队伍防扑工作，指导全县森林防火队伍建设，负责全县森林防火基础设施建设，发布森林火险预报和森林火灾情况信息，配合有关部门查处森林火灾案件。组织、指导森林有害生物的监测、检疫、防治工作。承担林业行政执法监管责任，指导森林公安工作，监督管理森林公安队伍，指导全县林业重特大案件查办工作。</w:t>
      </w:r>
    </w:p>
    <w:p w:rsidR="0019190C" w:rsidRPr="00977A61" w:rsidRDefault="0019190C" w:rsidP="0019190C">
      <w:pPr>
        <w:ind w:firstLineChars="250" w:firstLine="800"/>
        <w:rPr>
          <w:rFonts w:ascii="仿宋" w:eastAsia="仿宋" w:hAnsi="仿宋" w:cs="仿宋"/>
          <w:bCs/>
          <w:snapToGrid w:val="0"/>
          <w:kern w:val="16"/>
          <w:sz w:val="32"/>
          <w:szCs w:val="32"/>
        </w:rPr>
      </w:pPr>
      <w:r w:rsidRPr="00977A61">
        <w:rPr>
          <w:rFonts w:ascii="仿宋" w:eastAsia="仿宋" w:hAnsi="仿宋" w:cs="仿宋" w:hint="eastAsia"/>
          <w:bCs/>
          <w:snapToGrid w:val="0"/>
          <w:kern w:val="16"/>
          <w:sz w:val="32"/>
          <w:szCs w:val="32"/>
        </w:rPr>
        <w:t>5、组织、指导陆生野生动植物资源的保护和合理开发利用。贯彻落实《森林法》、《野生动物保护法》、《野生植物保护法》等有关法律法规；依法按照国家级和省级自然保护区的区划、规划原则，指导森林、湿地、荒漠化和陆生野生动物类型自然保护区的建设和管理。负责全县濒危和珍稀野生动植物物种的管理工作；指导珍稀、濒危野生动植物</w:t>
      </w:r>
      <w:r w:rsidRPr="00977A61">
        <w:rPr>
          <w:rFonts w:ascii="仿宋" w:eastAsia="仿宋" w:hAnsi="仿宋" w:cs="仿宋" w:hint="eastAsia"/>
          <w:bCs/>
          <w:snapToGrid w:val="0"/>
          <w:kern w:val="16"/>
          <w:sz w:val="32"/>
          <w:szCs w:val="32"/>
        </w:rPr>
        <w:lastRenderedPageBreak/>
        <w:t>救护工作。</w:t>
      </w:r>
    </w:p>
    <w:p w:rsidR="0019190C" w:rsidRPr="00977A61" w:rsidRDefault="0019190C" w:rsidP="0019190C">
      <w:pPr>
        <w:ind w:firstLineChars="250" w:firstLine="800"/>
        <w:rPr>
          <w:rFonts w:ascii="仿宋" w:eastAsia="仿宋" w:hAnsi="仿宋" w:cs="仿宋"/>
          <w:bCs/>
          <w:snapToGrid w:val="0"/>
          <w:kern w:val="16"/>
          <w:sz w:val="32"/>
          <w:szCs w:val="32"/>
        </w:rPr>
      </w:pPr>
      <w:r w:rsidRPr="00977A61">
        <w:rPr>
          <w:rFonts w:ascii="仿宋" w:eastAsia="仿宋" w:hAnsi="仿宋" w:cs="仿宋" w:hint="eastAsia"/>
          <w:bCs/>
          <w:snapToGrid w:val="0"/>
          <w:kern w:val="16"/>
          <w:sz w:val="32"/>
          <w:szCs w:val="32"/>
        </w:rPr>
        <w:t>6、承担推进全县林业改革，维护农民经营林业合法权益的责任。拟订全县集体林权制度、国有林场等重大林业改革意见并指导监督实施。组织、指导林地、林权管理，组织开展林权登记、造册工作。拟订全县农村林业发展、维护农民经营林业合法权益的政策措施，指导、监督农村林地承包经营和林权流转，指导林权纠纷调处和林地承包合同纠纷仲裁。负责森林资源资产评估。指导农民林业合作组织建设，组织协调全县林下经济发展工作。依法负责退耕还林工作。指导国有林场、苗圃、森林公园、基层林业工作站建设和管理。</w:t>
      </w:r>
    </w:p>
    <w:p w:rsidR="0019190C" w:rsidRPr="00977A61" w:rsidRDefault="0019190C" w:rsidP="0019190C">
      <w:pPr>
        <w:ind w:firstLineChars="250" w:firstLine="800"/>
        <w:rPr>
          <w:rFonts w:ascii="仿宋" w:eastAsia="仿宋" w:hAnsi="仿宋" w:cs="仿宋"/>
          <w:bCs/>
          <w:snapToGrid w:val="0"/>
          <w:kern w:val="16"/>
          <w:sz w:val="32"/>
          <w:szCs w:val="32"/>
        </w:rPr>
      </w:pPr>
      <w:r w:rsidRPr="00977A61">
        <w:rPr>
          <w:rFonts w:ascii="仿宋" w:eastAsia="仿宋" w:hAnsi="仿宋" w:cs="仿宋" w:hint="eastAsia"/>
          <w:bCs/>
          <w:snapToGrid w:val="0"/>
          <w:kern w:val="16"/>
          <w:sz w:val="32"/>
          <w:szCs w:val="32"/>
        </w:rPr>
        <w:t>7、参与拟订全县林业及其生态建设的财政、金融、价格经济协调政策，指导全县林业及生态补偿制度的建立和实施。编制部门预算并组织实施，负责全县林业建设资金的筹集和专项资金使用的检查监督以及审计工作，指导和监督本系统的财务、统计工作。负责提出林业固定资产投资规模和方向并实施上报审批工作。编制林业及其生态建设的年度生产计划。</w:t>
      </w:r>
    </w:p>
    <w:p w:rsidR="0019190C" w:rsidRPr="00977A61" w:rsidRDefault="0019190C" w:rsidP="0019190C">
      <w:pPr>
        <w:ind w:firstLineChars="250" w:firstLine="800"/>
        <w:rPr>
          <w:rFonts w:ascii="仿宋" w:eastAsia="仿宋" w:hAnsi="仿宋" w:cs="仿宋"/>
          <w:bCs/>
          <w:snapToGrid w:val="0"/>
          <w:kern w:val="16"/>
          <w:sz w:val="32"/>
          <w:szCs w:val="32"/>
        </w:rPr>
      </w:pPr>
      <w:r w:rsidRPr="00977A61">
        <w:rPr>
          <w:rFonts w:ascii="仿宋" w:eastAsia="仿宋" w:hAnsi="仿宋" w:cs="仿宋" w:hint="eastAsia"/>
          <w:bCs/>
          <w:snapToGrid w:val="0"/>
          <w:kern w:val="16"/>
          <w:sz w:val="32"/>
          <w:szCs w:val="32"/>
        </w:rPr>
        <w:t>8、组织指导全县林业及其生态建设的科技、教育、宣传工作，指导全县林业队伍建设。指导、管理林业利用外资造林工作。贯彻落实林业产业经营管理的有关政策、法规。负责全县林果产品加工、森林旅游、木本药材等林业产业发</w:t>
      </w:r>
      <w:r w:rsidRPr="00977A61">
        <w:rPr>
          <w:rFonts w:ascii="仿宋" w:eastAsia="仿宋" w:hAnsi="仿宋" w:cs="仿宋" w:hint="eastAsia"/>
          <w:bCs/>
          <w:snapToGrid w:val="0"/>
          <w:kern w:val="16"/>
          <w:sz w:val="32"/>
          <w:szCs w:val="32"/>
        </w:rPr>
        <w:lastRenderedPageBreak/>
        <w:t>展。</w:t>
      </w:r>
    </w:p>
    <w:p w:rsidR="0019190C" w:rsidRPr="00977A61" w:rsidRDefault="0019190C" w:rsidP="0019190C">
      <w:pPr>
        <w:ind w:firstLineChars="250" w:firstLine="800"/>
        <w:rPr>
          <w:rFonts w:ascii="仿宋" w:eastAsia="仿宋" w:hAnsi="仿宋" w:cs="仿宋"/>
          <w:bCs/>
          <w:snapToGrid w:val="0"/>
          <w:kern w:val="16"/>
          <w:sz w:val="32"/>
          <w:szCs w:val="32"/>
        </w:rPr>
      </w:pPr>
      <w:r w:rsidRPr="00977A61">
        <w:rPr>
          <w:rFonts w:ascii="仿宋" w:eastAsia="仿宋" w:hAnsi="仿宋" w:cs="仿宋" w:hint="eastAsia"/>
          <w:bCs/>
          <w:snapToGrid w:val="0"/>
          <w:kern w:val="16"/>
          <w:sz w:val="32"/>
          <w:szCs w:val="32"/>
        </w:rPr>
        <w:t>9、监督检查各产业对全县森林、湿地、荒漠和陆生野生动植物资源的开发利用。拟定全县林业资源优化配置政策，组织监督全县林产品质量。指导山区综合开发。</w:t>
      </w:r>
    </w:p>
    <w:p w:rsidR="0019190C" w:rsidRPr="00977A61" w:rsidRDefault="0019190C" w:rsidP="0019190C">
      <w:pPr>
        <w:ind w:firstLineChars="200" w:firstLine="640"/>
        <w:rPr>
          <w:rFonts w:ascii="仿宋" w:eastAsia="仿宋" w:hAnsi="仿宋" w:cs="仿宋"/>
          <w:bCs/>
          <w:snapToGrid w:val="0"/>
          <w:kern w:val="16"/>
          <w:sz w:val="32"/>
          <w:szCs w:val="32"/>
        </w:rPr>
      </w:pPr>
      <w:r w:rsidRPr="00977A61">
        <w:rPr>
          <w:rFonts w:ascii="仿宋" w:eastAsia="仿宋" w:hAnsi="仿宋" w:cs="仿宋" w:hint="eastAsia"/>
          <w:bCs/>
          <w:snapToGrid w:val="0"/>
          <w:kern w:val="16"/>
          <w:sz w:val="32"/>
          <w:szCs w:val="32"/>
        </w:rPr>
        <w:t>10、承担卢氏县绿化委员会办公室日常工作。</w:t>
      </w:r>
    </w:p>
    <w:p w:rsidR="0019190C" w:rsidRPr="00977A61" w:rsidRDefault="0019190C" w:rsidP="0019190C">
      <w:pPr>
        <w:ind w:firstLineChars="200" w:firstLine="640"/>
        <w:rPr>
          <w:rFonts w:ascii="仿宋" w:eastAsia="仿宋" w:hAnsi="仿宋" w:cs="仿宋"/>
          <w:bCs/>
          <w:snapToGrid w:val="0"/>
          <w:kern w:val="16"/>
          <w:sz w:val="32"/>
          <w:szCs w:val="32"/>
        </w:rPr>
      </w:pPr>
      <w:r w:rsidRPr="00977A61">
        <w:rPr>
          <w:rFonts w:ascii="仿宋" w:eastAsia="仿宋" w:hAnsi="仿宋" w:cs="仿宋" w:hint="eastAsia"/>
          <w:bCs/>
          <w:snapToGrid w:val="0"/>
          <w:kern w:val="16"/>
          <w:sz w:val="32"/>
          <w:szCs w:val="32"/>
        </w:rPr>
        <w:t>11、承办县政府交办的其他事项。</w:t>
      </w:r>
    </w:p>
    <w:p w:rsidR="00385B98" w:rsidRDefault="00640511">
      <w:pPr>
        <w:ind w:firstLineChars="200" w:firstLine="640"/>
        <w:outlineLvl w:val="0"/>
        <w:rPr>
          <w:rFonts w:ascii="黑体" w:eastAsia="黑体" w:hAnsi="黑体" w:cs="黑体"/>
          <w:snapToGrid w:val="0"/>
          <w:kern w:val="16"/>
          <w:sz w:val="32"/>
          <w:szCs w:val="32"/>
        </w:rPr>
      </w:pPr>
      <w:r>
        <w:rPr>
          <w:rFonts w:ascii="黑体" w:eastAsia="黑体" w:hAnsi="黑体" w:cs="黑体" w:hint="eastAsia"/>
          <w:snapToGrid w:val="0"/>
          <w:kern w:val="16"/>
          <w:sz w:val="32"/>
          <w:szCs w:val="32"/>
        </w:rPr>
        <w:t>二、本级预算和所属单位预算在内的汇总预算情况</w:t>
      </w:r>
    </w:p>
    <w:p w:rsidR="00385B98" w:rsidRDefault="00640511">
      <w:pPr>
        <w:ind w:firstLineChars="200" w:firstLine="640"/>
        <w:outlineLvl w:val="0"/>
        <w:rPr>
          <w:rFonts w:ascii="仿宋" w:eastAsia="仿宋" w:hAnsi="仿宋" w:cs="仿宋"/>
          <w:b/>
          <w:bCs/>
          <w:snapToGrid w:val="0"/>
          <w:kern w:val="16"/>
          <w:sz w:val="32"/>
          <w:szCs w:val="32"/>
        </w:rPr>
      </w:pPr>
      <w:r>
        <w:rPr>
          <w:rFonts w:ascii="仿宋" w:eastAsia="仿宋" w:hAnsi="仿宋" w:cs="仿宋" w:hint="eastAsia"/>
          <w:snapToGrid w:val="0"/>
          <w:kern w:val="16"/>
          <w:sz w:val="32"/>
          <w:szCs w:val="32"/>
        </w:rPr>
        <w:t>卢氏县林业局2018年一般公共预算收支预算1934.36万元。与 2017 年相比，一般公共预算收支预算增加1175.16万元，增加157.79%。</w:t>
      </w:r>
    </w:p>
    <w:p w:rsidR="00385B98" w:rsidRDefault="00640511">
      <w:pPr>
        <w:ind w:firstLineChars="100" w:firstLine="321"/>
        <w:outlineLvl w:val="0"/>
        <w:rPr>
          <w:rFonts w:ascii="楷体" w:eastAsia="楷体" w:hAnsi="楷体" w:cs="楷体"/>
          <w:b/>
          <w:bCs/>
          <w:snapToGrid w:val="0"/>
          <w:kern w:val="16"/>
          <w:sz w:val="32"/>
          <w:szCs w:val="32"/>
        </w:rPr>
      </w:pPr>
      <w:r>
        <w:rPr>
          <w:rFonts w:ascii="楷体" w:eastAsia="楷体" w:hAnsi="楷体" w:cs="楷体" w:hint="eastAsia"/>
          <w:b/>
          <w:bCs/>
          <w:snapToGrid w:val="0"/>
          <w:kern w:val="16"/>
          <w:sz w:val="32"/>
          <w:szCs w:val="32"/>
        </w:rPr>
        <w:t>（一）收入预算总体情况说明</w:t>
      </w:r>
    </w:p>
    <w:p w:rsidR="00385B98" w:rsidRDefault="00640511">
      <w:pPr>
        <w:ind w:firstLine="602"/>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卢氏县林业局2018年收入合计</w:t>
      </w:r>
      <w:r>
        <w:rPr>
          <w:rFonts w:ascii="仿宋" w:eastAsia="仿宋" w:hAnsi="仿宋" w:cs="仿宋" w:hint="eastAsia"/>
          <w:snapToGrid w:val="0"/>
          <w:kern w:val="16"/>
          <w:sz w:val="32"/>
          <w:szCs w:val="32"/>
        </w:rPr>
        <w:t>1934.36</w:t>
      </w:r>
      <w:r>
        <w:rPr>
          <w:rFonts w:ascii="仿宋" w:eastAsia="仿宋" w:hAnsi="仿宋" w:cs="仿宋" w:hint="eastAsia"/>
          <w:bCs/>
          <w:snapToGrid w:val="0"/>
          <w:kern w:val="16"/>
          <w:sz w:val="32"/>
          <w:szCs w:val="32"/>
        </w:rPr>
        <w:t>万元，其中：一般公共预算</w:t>
      </w:r>
      <w:r>
        <w:rPr>
          <w:rFonts w:ascii="仿宋" w:eastAsia="仿宋" w:hAnsi="仿宋" w:cs="仿宋" w:hint="eastAsia"/>
          <w:snapToGrid w:val="0"/>
          <w:kern w:val="16"/>
          <w:sz w:val="32"/>
          <w:szCs w:val="32"/>
        </w:rPr>
        <w:t>1934.36</w:t>
      </w:r>
      <w:r>
        <w:rPr>
          <w:rFonts w:ascii="仿宋" w:eastAsia="仿宋" w:hAnsi="仿宋" w:cs="仿宋" w:hint="eastAsia"/>
          <w:bCs/>
          <w:snapToGrid w:val="0"/>
          <w:kern w:val="16"/>
          <w:sz w:val="32"/>
          <w:szCs w:val="32"/>
        </w:rPr>
        <w:t>万元;  政府性基金0万元，其他收入0万元 。</w:t>
      </w:r>
    </w:p>
    <w:p w:rsidR="00385B98" w:rsidRDefault="00640511">
      <w:pPr>
        <w:ind w:firstLineChars="100" w:firstLine="321"/>
        <w:outlineLvl w:val="0"/>
        <w:rPr>
          <w:rFonts w:ascii="楷体" w:eastAsia="楷体" w:hAnsi="楷体" w:cs="楷体"/>
          <w:b/>
          <w:bCs/>
          <w:snapToGrid w:val="0"/>
          <w:kern w:val="16"/>
          <w:sz w:val="32"/>
          <w:szCs w:val="32"/>
        </w:rPr>
      </w:pPr>
      <w:r>
        <w:rPr>
          <w:rFonts w:ascii="楷体" w:eastAsia="楷体" w:hAnsi="楷体" w:cs="楷体" w:hint="eastAsia"/>
          <w:b/>
          <w:bCs/>
          <w:snapToGrid w:val="0"/>
          <w:kern w:val="16"/>
          <w:sz w:val="32"/>
          <w:szCs w:val="32"/>
        </w:rPr>
        <w:t>（二）支出预算总体情况说明</w:t>
      </w:r>
    </w:p>
    <w:p w:rsidR="00385B98" w:rsidRDefault="00640511">
      <w:pPr>
        <w:ind w:firstLine="602"/>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 xml:space="preserve">卢氏县林业局2018年支出合计 </w:t>
      </w:r>
      <w:r>
        <w:rPr>
          <w:rFonts w:ascii="仿宋" w:eastAsia="仿宋" w:hAnsi="仿宋" w:cs="仿宋" w:hint="eastAsia"/>
          <w:snapToGrid w:val="0"/>
          <w:kern w:val="16"/>
          <w:sz w:val="32"/>
          <w:szCs w:val="32"/>
        </w:rPr>
        <w:t>1934.36</w:t>
      </w:r>
      <w:r>
        <w:rPr>
          <w:rFonts w:ascii="仿宋" w:eastAsia="仿宋" w:hAnsi="仿宋" w:cs="仿宋" w:hint="eastAsia"/>
          <w:bCs/>
          <w:snapToGrid w:val="0"/>
          <w:kern w:val="16"/>
          <w:sz w:val="32"/>
          <w:szCs w:val="32"/>
        </w:rPr>
        <w:t>万元，其中：基本支出622.03万元，占32.16%；项目支出1312.33万元，占67.84%。</w:t>
      </w:r>
    </w:p>
    <w:p w:rsidR="00385B98" w:rsidRDefault="00640511">
      <w:pPr>
        <w:ind w:firstLineChars="200" w:firstLine="640"/>
        <w:outlineLvl w:val="0"/>
        <w:rPr>
          <w:rFonts w:ascii="仿宋_GB2312" w:eastAsia="仿宋_GB2312"/>
          <w:snapToGrid w:val="0"/>
          <w:kern w:val="16"/>
          <w:sz w:val="32"/>
          <w:szCs w:val="32"/>
        </w:rPr>
      </w:pPr>
      <w:r>
        <w:rPr>
          <w:rFonts w:ascii="黑体" w:eastAsia="黑体" w:hAnsi="黑体" w:hint="eastAsia"/>
          <w:snapToGrid w:val="0"/>
          <w:kern w:val="16"/>
          <w:sz w:val="32"/>
          <w:szCs w:val="32"/>
        </w:rPr>
        <w:t>三、预算收支增减变化情况说明</w:t>
      </w:r>
    </w:p>
    <w:p w:rsidR="00385B98" w:rsidRDefault="00640511">
      <w:pPr>
        <w:ind w:firstLineChars="200" w:firstLine="640"/>
        <w:rPr>
          <w:rFonts w:ascii="仿宋_GB2312" w:eastAsia="仿宋_GB2312" w:hAnsi="宋体" w:cs="Courier New"/>
          <w:snapToGrid w:val="0"/>
          <w:kern w:val="16"/>
          <w:sz w:val="32"/>
          <w:szCs w:val="32"/>
        </w:rPr>
      </w:pPr>
      <w:r>
        <w:rPr>
          <w:rFonts w:ascii="仿宋" w:eastAsia="仿宋" w:hAnsi="仿宋" w:cs="仿宋" w:hint="eastAsia"/>
          <w:bCs/>
          <w:snapToGrid w:val="0"/>
          <w:kern w:val="16"/>
          <w:sz w:val="32"/>
          <w:szCs w:val="32"/>
        </w:rPr>
        <w:t xml:space="preserve">卢氏县林业局2018年收入总计 </w:t>
      </w:r>
      <w:r>
        <w:rPr>
          <w:rFonts w:ascii="仿宋" w:eastAsia="仿宋" w:hAnsi="仿宋" w:cs="仿宋" w:hint="eastAsia"/>
          <w:snapToGrid w:val="0"/>
          <w:kern w:val="16"/>
          <w:sz w:val="32"/>
          <w:szCs w:val="32"/>
        </w:rPr>
        <w:t>1934.36</w:t>
      </w:r>
      <w:r>
        <w:rPr>
          <w:rFonts w:ascii="仿宋" w:eastAsia="仿宋" w:hAnsi="仿宋" w:cs="仿宋" w:hint="eastAsia"/>
          <w:bCs/>
          <w:snapToGrid w:val="0"/>
          <w:kern w:val="16"/>
          <w:sz w:val="32"/>
          <w:szCs w:val="32"/>
        </w:rPr>
        <w:t xml:space="preserve">万元，支出总计  </w:t>
      </w:r>
      <w:r>
        <w:rPr>
          <w:rFonts w:ascii="仿宋" w:eastAsia="仿宋" w:hAnsi="仿宋" w:cs="仿宋" w:hint="eastAsia"/>
          <w:snapToGrid w:val="0"/>
          <w:kern w:val="16"/>
          <w:sz w:val="32"/>
          <w:szCs w:val="32"/>
        </w:rPr>
        <w:t>1934.36</w:t>
      </w:r>
      <w:r>
        <w:rPr>
          <w:rFonts w:ascii="仿宋" w:eastAsia="仿宋" w:hAnsi="仿宋" w:cs="仿宋" w:hint="eastAsia"/>
          <w:bCs/>
          <w:snapToGrid w:val="0"/>
          <w:kern w:val="16"/>
          <w:sz w:val="32"/>
          <w:szCs w:val="32"/>
        </w:rPr>
        <w:t>万元，与2017年相比，收、支总计各增加</w:t>
      </w:r>
      <w:r>
        <w:rPr>
          <w:rFonts w:ascii="仿宋" w:eastAsia="仿宋" w:hAnsi="仿宋" w:cs="仿宋" w:hint="eastAsia"/>
          <w:snapToGrid w:val="0"/>
          <w:kern w:val="16"/>
          <w:sz w:val="32"/>
          <w:szCs w:val="32"/>
        </w:rPr>
        <w:t>1175.16</w:t>
      </w:r>
      <w:r>
        <w:rPr>
          <w:rFonts w:ascii="仿宋" w:eastAsia="仿宋" w:hAnsi="仿宋" w:cs="仿宋" w:hint="eastAsia"/>
          <w:bCs/>
          <w:snapToGrid w:val="0"/>
          <w:kern w:val="16"/>
          <w:sz w:val="32"/>
          <w:szCs w:val="32"/>
        </w:rPr>
        <w:t>万元，</w:t>
      </w:r>
      <w:r>
        <w:rPr>
          <w:rFonts w:ascii="仿宋" w:eastAsia="仿宋" w:hAnsi="仿宋" w:cs="仿宋" w:hint="eastAsia"/>
          <w:snapToGrid w:val="0"/>
          <w:kern w:val="16"/>
          <w:sz w:val="32"/>
          <w:szCs w:val="32"/>
        </w:rPr>
        <w:t>增加157.79%</w:t>
      </w:r>
      <w:r>
        <w:rPr>
          <w:rFonts w:ascii="仿宋" w:eastAsia="仿宋" w:hAnsi="仿宋" w:cs="仿宋" w:hint="eastAsia"/>
          <w:bCs/>
          <w:snapToGrid w:val="0"/>
          <w:kern w:val="16"/>
          <w:sz w:val="32"/>
          <w:szCs w:val="32"/>
        </w:rPr>
        <w:t>。主要原因：基本支出较上年</w:t>
      </w:r>
      <w:r>
        <w:rPr>
          <w:rFonts w:ascii="仿宋" w:eastAsia="仿宋" w:hAnsi="仿宋" w:cs="仿宋" w:hint="eastAsia"/>
          <w:bCs/>
          <w:snapToGrid w:val="0"/>
          <w:kern w:val="16"/>
          <w:sz w:val="32"/>
          <w:szCs w:val="32"/>
        </w:rPr>
        <w:lastRenderedPageBreak/>
        <w:t>减少114.17万元，主要原因为发展生产的同时尽可能压缩其它开支。项目支出较上年增加1289.33万元，增加5605.78%。</w:t>
      </w:r>
      <w:r w:rsidR="005D16C1">
        <w:rPr>
          <w:rFonts w:ascii="仿宋" w:eastAsia="仿宋" w:hAnsi="仿宋" w:cs="仿宋" w:hint="eastAsia"/>
          <w:bCs/>
          <w:snapToGrid w:val="0"/>
          <w:kern w:val="16"/>
          <w:sz w:val="32"/>
          <w:szCs w:val="32"/>
        </w:rPr>
        <w:t>主要包含：退耕现金298.07万元，防火扑救队人员共计及三金123.43万元，欧投行经费120.78万元，森林植被恢复费482.6万元，退耕经费14</w:t>
      </w:r>
      <w:r w:rsidR="00FA1240">
        <w:rPr>
          <w:rFonts w:ascii="仿宋" w:eastAsia="仿宋" w:hAnsi="仿宋" w:cs="仿宋" w:hint="eastAsia"/>
          <w:bCs/>
          <w:snapToGrid w:val="0"/>
          <w:kern w:val="16"/>
          <w:sz w:val="32"/>
          <w:szCs w:val="32"/>
        </w:rPr>
        <w:t>.6万元，国有林场改革经费244.48万元。增加原因</w:t>
      </w:r>
      <w:r>
        <w:rPr>
          <w:rFonts w:ascii="仿宋" w:eastAsia="仿宋" w:hAnsi="仿宋" w:cs="仿宋" w:hint="eastAsia"/>
          <w:bCs/>
          <w:snapToGrid w:val="0"/>
          <w:kern w:val="16"/>
          <w:sz w:val="32"/>
          <w:szCs w:val="32"/>
        </w:rPr>
        <w:t>为加大森防、飞防、退耕、森林防火</w:t>
      </w:r>
      <w:r w:rsidR="00FA1240">
        <w:rPr>
          <w:rFonts w:ascii="仿宋" w:eastAsia="仿宋" w:hAnsi="仿宋" w:cs="仿宋" w:hint="eastAsia"/>
          <w:bCs/>
          <w:snapToGrid w:val="0"/>
          <w:kern w:val="16"/>
          <w:sz w:val="32"/>
          <w:szCs w:val="32"/>
        </w:rPr>
        <w:t>、国有林场改革</w:t>
      </w:r>
      <w:r>
        <w:rPr>
          <w:rFonts w:ascii="仿宋" w:eastAsia="仿宋" w:hAnsi="仿宋" w:cs="仿宋" w:hint="eastAsia"/>
          <w:bCs/>
          <w:snapToGrid w:val="0"/>
          <w:kern w:val="16"/>
          <w:sz w:val="32"/>
          <w:szCs w:val="32"/>
        </w:rPr>
        <w:t>等工作力度，进而增加预算支出，其中包含项目实施款项、项目实施经费及项目实施人员开支。</w:t>
      </w:r>
    </w:p>
    <w:p w:rsidR="00385B98" w:rsidRDefault="00640511">
      <w:pPr>
        <w:ind w:firstLineChars="200" w:firstLine="640"/>
        <w:outlineLvl w:val="0"/>
        <w:rPr>
          <w:rFonts w:ascii="仿宋_GB2312" w:eastAsia="仿宋_GB2312"/>
          <w:snapToGrid w:val="0"/>
          <w:kern w:val="16"/>
          <w:sz w:val="32"/>
          <w:szCs w:val="32"/>
        </w:rPr>
      </w:pPr>
      <w:r>
        <w:rPr>
          <w:rFonts w:ascii="黑体" w:eastAsia="黑体" w:hAnsi="黑体" w:hint="eastAsia"/>
          <w:snapToGrid w:val="0"/>
          <w:kern w:val="16"/>
          <w:sz w:val="32"/>
          <w:szCs w:val="32"/>
        </w:rPr>
        <w:t>四、一般公共预算支出预算情况说明</w:t>
      </w:r>
    </w:p>
    <w:p w:rsidR="00385B98" w:rsidRDefault="00640511">
      <w:pPr>
        <w:ind w:firstLine="602"/>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 xml:space="preserve">卢氏县林业局2018年一般公共预算支出年初预算为 </w:t>
      </w:r>
      <w:r>
        <w:rPr>
          <w:rFonts w:ascii="仿宋" w:eastAsia="仿宋" w:hAnsi="仿宋" w:cs="仿宋" w:hint="eastAsia"/>
          <w:snapToGrid w:val="0"/>
          <w:kern w:val="16"/>
          <w:sz w:val="32"/>
          <w:szCs w:val="32"/>
        </w:rPr>
        <w:t>1934.36</w:t>
      </w:r>
      <w:r>
        <w:rPr>
          <w:rFonts w:ascii="仿宋" w:eastAsia="仿宋" w:hAnsi="仿宋" w:cs="仿宋" w:hint="eastAsia"/>
          <w:bCs/>
          <w:snapToGrid w:val="0"/>
          <w:kern w:val="16"/>
          <w:sz w:val="32"/>
          <w:szCs w:val="32"/>
        </w:rPr>
        <w:t>万元。主要用于以下方面：机关事业单位基本养老支出101.28万元，占 5.24%，机关事业单位医疗支出32.91万元，占1.7%，死亡抚恤支出0.55万元，占0.028%，行政运行支出182.72万元，占9.44%，林业事业机构支出399.52万元，占20.65%，森林培育支出603.38万元，占31.19%，退耕现金298.07万元，占15.41%，森林生态效益补偿支出14.6万，占0.75%，其他林业支出244.48万元，占12.64%，住房公积金支出50.18万元，占2.59%.</w:t>
      </w:r>
    </w:p>
    <w:p w:rsidR="00385B98" w:rsidRDefault="00640511">
      <w:pPr>
        <w:ind w:firstLineChars="200" w:firstLine="640"/>
        <w:outlineLvl w:val="0"/>
        <w:rPr>
          <w:rFonts w:ascii="仿宋_GB2312" w:eastAsia="仿宋_GB2312"/>
          <w:snapToGrid w:val="0"/>
          <w:kern w:val="16"/>
          <w:sz w:val="32"/>
          <w:szCs w:val="32"/>
        </w:rPr>
      </w:pPr>
      <w:r>
        <w:rPr>
          <w:rFonts w:ascii="黑体" w:eastAsia="黑体" w:hAnsi="Times New Roman" w:cs="黑体" w:hint="eastAsia"/>
          <w:snapToGrid w:val="0"/>
          <w:kern w:val="16"/>
          <w:sz w:val="32"/>
          <w:szCs w:val="32"/>
        </w:rPr>
        <w:t>五、机关运行经费安排情况说明</w:t>
      </w:r>
    </w:p>
    <w:p w:rsidR="00385B98" w:rsidRDefault="00640511">
      <w:pPr>
        <w:ind w:firstLine="602"/>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卢氏县林业局2018年一般公共预算基本支出622.03万元，其中：人员经费</w:t>
      </w:r>
      <w:r w:rsidR="00CD40DC">
        <w:rPr>
          <w:rFonts w:ascii="仿宋" w:eastAsia="仿宋" w:hAnsi="仿宋" w:cs="仿宋" w:hint="eastAsia"/>
          <w:bCs/>
          <w:snapToGrid w:val="0"/>
          <w:kern w:val="16"/>
          <w:sz w:val="32"/>
          <w:szCs w:val="32"/>
        </w:rPr>
        <w:t>590.8</w:t>
      </w:r>
      <w:r>
        <w:rPr>
          <w:rFonts w:ascii="仿宋" w:eastAsia="仿宋" w:hAnsi="仿宋" w:cs="仿宋" w:hint="eastAsia"/>
          <w:bCs/>
          <w:snapToGrid w:val="0"/>
          <w:kern w:val="16"/>
          <w:sz w:val="32"/>
          <w:szCs w:val="32"/>
        </w:rPr>
        <w:t>万元，主要包括：（基本工资、</w:t>
      </w:r>
      <w:r>
        <w:rPr>
          <w:rFonts w:ascii="仿宋" w:eastAsia="仿宋" w:hAnsi="仿宋" w:cs="仿宋" w:hint="eastAsia"/>
          <w:bCs/>
          <w:snapToGrid w:val="0"/>
          <w:kern w:val="16"/>
          <w:sz w:val="32"/>
          <w:szCs w:val="32"/>
        </w:rPr>
        <w:lastRenderedPageBreak/>
        <w:t>津贴补贴、 奖金、社会保障缴费、伙食补助费、绩效工资、其他工资福利支出、离休费、退休费、退职（役）费、抚恤金、生活补助、 医疗费、助学金、奖励金、住房公积金、提租补贴、购房补贴、 其他对个人和家庭的补助支出）；机关运行经费：</w:t>
      </w:r>
      <w:r w:rsidRPr="003F3613">
        <w:rPr>
          <w:rFonts w:ascii="仿宋" w:eastAsia="仿宋" w:hAnsi="仿宋" w:cs="仿宋" w:hint="eastAsia"/>
          <w:bCs/>
          <w:snapToGrid w:val="0"/>
          <w:color w:val="000000" w:themeColor="text1"/>
          <w:kern w:val="16"/>
          <w:sz w:val="32"/>
          <w:szCs w:val="32"/>
        </w:rPr>
        <w:t xml:space="preserve"> 31.23</w:t>
      </w:r>
      <w:r>
        <w:rPr>
          <w:rFonts w:ascii="仿宋" w:eastAsia="仿宋" w:hAnsi="仿宋" w:cs="仿宋" w:hint="eastAsia"/>
          <w:bCs/>
          <w:snapToGrid w:val="0"/>
          <w:kern w:val="16"/>
          <w:sz w:val="32"/>
          <w:szCs w:val="32"/>
        </w:rPr>
        <w:t>万元，主要包括：（办公费、印刷费、咨询费、手续费、水费、电费、邮电费、取暖费、物业管理费、差旅费、因公出国（境）费、维 修（护）费、租赁费、会议费、培训费、公务接待费、专用材料费、劳务费、委托业务费、工会经费、福利费、公务用车运 行维护费、其他交通费用、税金及附加费用、其他商品和服务支出、办公设备购置、专用设备购置、大型修缮、信息网络及软件购置更新、其他资本性支出）。</w:t>
      </w:r>
    </w:p>
    <w:p w:rsidR="00385B98" w:rsidRDefault="00640511">
      <w:pPr>
        <w:ind w:firstLineChars="200" w:firstLine="640"/>
        <w:outlineLvl w:val="0"/>
        <w:rPr>
          <w:rFonts w:ascii="仿宋_GB2312" w:eastAsia="仿宋_GB2312"/>
          <w:snapToGrid w:val="0"/>
          <w:kern w:val="16"/>
          <w:sz w:val="32"/>
          <w:szCs w:val="32"/>
        </w:rPr>
      </w:pPr>
      <w:r>
        <w:rPr>
          <w:rFonts w:ascii="黑体" w:eastAsia="黑体" w:hAnsi="Times New Roman" w:cs="黑体" w:hint="eastAsia"/>
          <w:snapToGrid w:val="0"/>
          <w:kern w:val="16"/>
          <w:sz w:val="32"/>
          <w:szCs w:val="32"/>
        </w:rPr>
        <w:t>六、政府性基金预算支出决算情况说明</w:t>
      </w:r>
    </w:p>
    <w:p w:rsidR="00385B98" w:rsidRDefault="00640511">
      <w:pPr>
        <w:ind w:firstLine="602"/>
        <w:rPr>
          <w:rFonts w:ascii="仿宋_GB2312" w:eastAsia="仿宋_GB2312"/>
          <w:snapToGrid w:val="0"/>
          <w:kern w:val="16"/>
          <w:sz w:val="32"/>
          <w:szCs w:val="32"/>
        </w:rPr>
      </w:pPr>
      <w:r>
        <w:rPr>
          <w:rFonts w:ascii="仿宋" w:eastAsia="仿宋" w:hAnsi="仿宋" w:cs="仿宋" w:hint="eastAsia"/>
          <w:bCs/>
          <w:snapToGrid w:val="0"/>
          <w:kern w:val="16"/>
          <w:sz w:val="32"/>
          <w:szCs w:val="32"/>
        </w:rPr>
        <w:t>卢氏县林业局2018年政府性基金预算拨款安排支出0万元</w:t>
      </w:r>
      <w:r>
        <w:rPr>
          <w:rFonts w:ascii="仿宋_GB2312" w:eastAsia="仿宋_GB2312" w:hAnsi="宋体" w:cs="Courier New" w:hint="eastAsia"/>
          <w:snapToGrid w:val="0"/>
          <w:kern w:val="16"/>
          <w:sz w:val="32"/>
          <w:szCs w:val="32"/>
        </w:rPr>
        <w:t>。</w:t>
      </w:r>
    </w:p>
    <w:p w:rsidR="00385B98" w:rsidRDefault="00640511">
      <w:pPr>
        <w:ind w:firstLineChars="200" w:firstLine="640"/>
        <w:outlineLvl w:val="0"/>
        <w:rPr>
          <w:rFonts w:ascii="仿宋_GB2312" w:eastAsia="仿宋_GB2312"/>
          <w:snapToGrid w:val="0"/>
          <w:kern w:val="16"/>
          <w:sz w:val="32"/>
          <w:szCs w:val="32"/>
        </w:rPr>
      </w:pPr>
      <w:r>
        <w:rPr>
          <w:rFonts w:ascii="黑体" w:eastAsia="黑体" w:hAnsi="Times New Roman" w:cs="黑体" w:hint="eastAsia"/>
          <w:snapToGrid w:val="0"/>
          <w:kern w:val="16"/>
          <w:sz w:val="32"/>
          <w:szCs w:val="32"/>
        </w:rPr>
        <w:t>七、 “三公”经费支出预算情况及增减变化原因说明</w:t>
      </w:r>
    </w:p>
    <w:p w:rsidR="00385B98" w:rsidRDefault="00640511">
      <w:pPr>
        <w:ind w:firstLine="602"/>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卢氏县林业局2018年“三公”经费预算为13.5万元。2018年“三公”经费支出预算数比 2017年预算数减少17.5万元。具体支出情况如下：</w:t>
      </w:r>
    </w:p>
    <w:p w:rsidR="00385B98" w:rsidRDefault="00640511">
      <w:pPr>
        <w:numPr>
          <w:ilvl w:val="0"/>
          <w:numId w:val="2"/>
        </w:numPr>
        <w:ind w:firstLineChars="200" w:firstLine="640"/>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因公出国（境）费0万元，主要用于单位工作人员公务出国（境）的住宿费、旅费、伙食补助费、杂费、培训费等支出。预算数比2017年减少0万元。</w:t>
      </w:r>
    </w:p>
    <w:p w:rsidR="00385B98" w:rsidRPr="003F3613" w:rsidRDefault="00640511">
      <w:pPr>
        <w:ind w:firstLineChars="200" w:firstLine="640"/>
        <w:rPr>
          <w:rFonts w:ascii="仿宋" w:eastAsia="仿宋" w:hAnsi="仿宋" w:cs="仿宋"/>
          <w:bCs/>
          <w:snapToGrid w:val="0"/>
          <w:color w:val="000000" w:themeColor="text1"/>
          <w:kern w:val="16"/>
          <w:sz w:val="32"/>
          <w:szCs w:val="32"/>
        </w:rPr>
      </w:pPr>
      <w:r>
        <w:rPr>
          <w:rFonts w:ascii="仿宋" w:eastAsia="仿宋" w:hAnsi="仿宋" w:cs="仿宋" w:hint="eastAsia"/>
          <w:bCs/>
          <w:snapToGrid w:val="0"/>
          <w:kern w:val="16"/>
          <w:sz w:val="32"/>
          <w:szCs w:val="32"/>
        </w:rPr>
        <w:lastRenderedPageBreak/>
        <w:t>（二）公务用车购置及运行费 0万元，其中，公务用车购置费 0万元；公务用车运行维护费 0万元，主要用于开展工作所需公务用车的燃料费、维修费、过路过桥费、保险费、安全奖励费用等支出。公务用车购置费预算数预算数比2017年减少</w:t>
      </w:r>
      <w:r w:rsidR="00580EA7">
        <w:rPr>
          <w:rFonts w:ascii="仿宋" w:eastAsia="仿宋" w:hAnsi="仿宋" w:cs="仿宋" w:hint="eastAsia"/>
          <w:bCs/>
          <w:snapToGrid w:val="0"/>
          <w:kern w:val="16"/>
          <w:sz w:val="32"/>
          <w:szCs w:val="32"/>
        </w:rPr>
        <w:t>0</w:t>
      </w:r>
      <w:r>
        <w:rPr>
          <w:rFonts w:ascii="仿宋" w:eastAsia="仿宋" w:hAnsi="仿宋" w:cs="仿宋" w:hint="eastAsia"/>
          <w:bCs/>
          <w:snapToGrid w:val="0"/>
          <w:kern w:val="16"/>
          <w:sz w:val="32"/>
          <w:szCs w:val="32"/>
        </w:rPr>
        <w:t>万元。</w:t>
      </w:r>
      <w:r w:rsidRPr="003F3613">
        <w:rPr>
          <w:rFonts w:ascii="仿宋" w:eastAsia="仿宋" w:hAnsi="仿宋" w:cs="仿宋" w:hint="eastAsia"/>
          <w:bCs/>
          <w:snapToGrid w:val="0"/>
          <w:color w:val="000000" w:themeColor="text1"/>
          <w:kern w:val="16"/>
          <w:sz w:val="32"/>
          <w:szCs w:val="32"/>
        </w:rPr>
        <w:t>公务用车运行维护费预算数比 2017年减少</w:t>
      </w:r>
      <w:r w:rsidR="00580EA7" w:rsidRPr="003F3613">
        <w:rPr>
          <w:rFonts w:ascii="仿宋" w:eastAsia="仿宋" w:hAnsi="仿宋" w:cs="仿宋" w:hint="eastAsia"/>
          <w:bCs/>
          <w:snapToGrid w:val="0"/>
          <w:color w:val="000000" w:themeColor="text1"/>
          <w:kern w:val="16"/>
          <w:sz w:val="32"/>
          <w:szCs w:val="32"/>
        </w:rPr>
        <w:t>17</w:t>
      </w:r>
      <w:r w:rsidRPr="003F3613">
        <w:rPr>
          <w:rFonts w:ascii="仿宋" w:eastAsia="仿宋" w:hAnsi="仿宋" w:cs="仿宋" w:hint="eastAsia"/>
          <w:bCs/>
          <w:snapToGrid w:val="0"/>
          <w:color w:val="000000" w:themeColor="text1"/>
          <w:kern w:val="16"/>
          <w:sz w:val="32"/>
          <w:szCs w:val="32"/>
        </w:rPr>
        <w:t>万元，主要原因：</w:t>
      </w:r>
      <w:r w:rsidR="00580EA7" w:rsidRPr="003F3613">
        <w:rPr>
          <w:rFonts w:ascii="仿宋" w:eastAsia="仿宋" w:hAnsi="仿宋" w:cs="仿宋" w:hint="eastAsia"/>
          <w:bCs/>
          <w:snapToGrid w:val="0"/>
          <w:color w:val="000000" w:themeColor="text1"/>
          <w:kern w:val="16"/>
          <w:sz w:val="32"/>
          <w:szCs w:val="32"/>
        </w:rPr>
        <w:t>公务用车已经上交大半，留于单位的极少数，进而对产生的公务用车费用进行大幅压缩</w:t>
      </w:r>
      <w:r w:rsidRPr="003F3613">
        <w:rPr>
          <w:rFonts w:ascii="仿宋" w:eastAsia="仿宋" w:hAnsi="仿宋" w:cs="仿宋" w:hint="eastAsia"/>
          <w:bCs/>
          <w:snapToGrid w:val="0"/>
          <w:color w:val="000000" w:themeColor="text1"/>
          <w:kern w:val="16"/>
          <w:sz w:val="32"/>
          <w:szCs w:val="32"/>
        </w:rPr>
        <w:t>。</w:t>
      </w:r>
    </w:p>
    <w:p w:rsidR="00385B98" w:rsidRPr="003F3613" w:rsidRDefault="00640511">
      <w:pPr>
        <w:ind w:firstLine="602"/>
        <w:rPr>
          <w:rFonts w:ascii="仿宋" w:eastAsia="仿宋" w:hAnsi="仿宋" w:cs="仿宋"/>
          <w:bCs/>
          <w:snapToGrid w:val="0"/>
          <w:color w:val="000000" w:themeColor="text1"/>
          <w:kern w:val="16"/>
          <w:sz w:val="32"/>
          <w:szCs w:val="32"/>
        </w:rPr>
      </w:pPr>
      <w:r w:rsidRPr="003F3613">
        <w:rPr>
          <w:rFonts w:ascii="仿宋" w:eastAsia="仿宋" w:hAnsi="仿宋" w:cs="仿宋" w:hint="eastAsia"/>
          <w:bCs/>
          <w:snapToGrid w:val="0"/>
          <w:color w:val="000000" w:themeColor="text1"/>
          <w:kern w:val="16"/>
          <w:sz w:val="32"/>
          <w:szCs w:val="32"/>
        </w:rPr>
        <w:t>（三）公务接待费13.5万元，主要用于按规定开支的各类公务接待（含外宾接待）支出。预算数和2017年减少</w:t>
      </w:r>
      <w:r w:rsidR="003F3613" w:rsidRPr="003F3613">
        <w:rPr>
          <w:rFonts w:ascii="仿宋" w:eastAsia="仿宋" w:hAnsi="仿宋" w:cs="仿宋" w:hint="eastAsia"/>
          <w:bCs/>
          <w:snapToGrid w:val="0"/>
          <w:color w:val="000000" w:themeColor="text1"/>
          <w:kern w:val="16"/>
          <w:sz w:val="32"/>
          <w:szCs w:val="32"/>
        </w:rPr>
        <w:t>0.5</w:t>
      </w:r>
      <w:r w:rsidRPr="003F3613">
        <w:rPr>
          <w:rFonts w:ascii="仿宋" w:eastAsia="仿宋" w:hAnsi="仿宋" w:cs="仿宋" w:hint="eastAsia"/>
          <w:bCs/>
          <w:snapToGrid w:val="0"/>
          <w:color w:val="000000" w:themeColor="text1"/>
          <w:kern w:val="16"/>
          <w:sz w:val="32"/>
          <w:szCs w:val="32"/>
        </w:rPr>
        <w:t>万元。主要原因：相应政府号召，尽量减少公务接待开支。</w:t>
      </w:r>
    </w:p>
    <w:p w:rsidR="00385B98" w:rsidRDefault="00640511">
      <w:pPr>
        <w:kinsoku w:val="0"/>
        <w:overflowPunct w:val="0"/>
        <w:autoSpaceDE w:val="0"/>
        <w:autoSpaceDN w:val="0"/>
        <w:adjustRightInd w:val="0"/>
        <w:snapToGrid w:val="0"/>
        <w:ind w:firstLineChars="200" w:firstLine="640"/>
        <w:rPr>
          <w:rFonts w:ascii="黑体" w:eastAsia="黑体" w:hAnsi="黑体" w:cs="黑体"/>
          <w:snapToGrid w:val="0"/>
          <w:kern w:val="16"/>
          <w:sz w:val="32"/>
          <w:szCs w:val="32"/>
        </w:rPr>
      </w:pPr>
      <w:r>
        <w:rPr>
          <w:rFonts w:ascii="黑体" w:eastAsia="黑体" w:hAnsi="黑体" w:cs="黑体" w:hint="eastAsia"/>
          <w:snapToGrid w:val="0"/>
          <w:kern w:val="16"/>
          <w:sz w:val="32"/>
          <w:szCs w:val="32"/>
        </w:rPr>
        <w:t>八、政府采购安排情况</w:t>
      </w:r>
    </w:p>
    <w:p w:rsidR="00385B98" w:rsidRDefault="00640511">
      <w:pPr>
        <w:ind w:firstLine="602"/>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2018年无政府采购，具体事项：无</w:t>
      </w:r>
    </w:p>
    <w:p w:rsidR="00385B98" w:rsidRDefault="00640511">
      <w:pPr>
        <w:adjustRightInd w:val="0"/>
        <w:snapToGrid w:val="0"/>
        <w:ind w:firstLineChars="200" w:firstLine="640"/>
        <w:rPr>
          <w:rFonts w:ascii="黑体" w:eastAsia="黑体" w:hAnsi="黑体"/>
          <w:snapToGrid w:val="0"/>
          <w:kern w:val="16"/>
          <w:sz w:val="32"/>
          <w:szCs w:val="32"/>
        </w:rPr>
      </w:pPr>
      <w:r>
        <w:rPr>
          <w:rFonts w:ascii="黑体" w:eastAsia="黑体" w:hAnsi="黑体" w:hint="eastAsia"/>
          <w:snapToGrid w:val="0"/>
          <w:kern w:val="16"/>
          <w:sz w:val="32"/>
          <w:szCs w:val="32"/>
        </w:rPr>
        <w:t>九、名词解释</w:t>
      </w:r>
    </w:p>
    <w:p w:rsidR="00385B98" w:rsidRDefault="00640511">
      <w:pPr>
        <w:ind w:firstLine="602"/>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（一）财政拨款收入：是指财政当年拨付的资金。</w:t>
      </w:r>
    </w:p>
    <w:p w:rsidR="00385B98" w:rsidRDefault="00640511">
      <w:pPr>
        <w:ind w:firstLine="602"/>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（二）事业收入：是指事业单位开展专业活动及辅助活动所取得的收入。</w:t>
      </w:r>
    </w:p>
    <w:p w:rsidR="00385B98" w:rsidRDefault="00640511">
      <w:pPr>
        <w:ind w:firstLine="602"/>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 xml:space="preserve">（三）其他收入：是指部门取得的除“财政拨款”、“事业收入”、“事业单位经营收入”等以外的收入。 </w:t>
      </w:r>
    </w:p>
    <w:p w:rsidR="00385B98" w:rsidRDefault="00640511">
      <w:pPr>
        <w:ind w:firstLine="602"/>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w:t>
      </w:r>
      <w:r>
        <w:rPr>
          <w:rFonts w:ascii="仿宋" w:eastAsia="仿宋" w:hAnsi="仿宋" w:cs="仿宋" w:hint="eastAsia"/>
          <w:bCs/>
          <w:snapToGrid w:val="0"/>
          <w:kern w:val="16"/>
          <w:sz w:val="32"/>
          <w:szCs w:val="32"/>
        </w:rPr>
        <w:lastRenderedPageBreak/>
        <w:t>支缺口的资金。</w:t>
      </w:r>
    </w:p>
    <w:p w:rsidR="00385B98" w:rsidRDefault="00640511">
      <w:pPr>
        <w:ind w:firstLine="602"/>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（五）基本支出：是指为保障机构正常运转、完成日常工作任务所必需的开支，其内容包括人员经费和日常公用经费两部分。</w:t>
      </w:r>
    </w:p>
    <w:p w:rsidR="00385B98" w:rsidRDefault="00640511">
      <w:pPr>
        <w:ind w:firstLineChars="200" w:firstLine="640"/>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（六）项目支出：是指在基本支出之外，为完成特定的行政工作任务或事业发展目标所发生的支出。</w:t>
      </w:r>
    </w:p>
    <w:p w:rsidR="00385B98" w:rsidRDefault="00640511">
      <w:pPr>
        <w:ind w:firstLine="602"/>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385B98" w:rsidRDefault="00640511">
      <w:pPr>
        <w:ind w:firstLine="602"/>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977A61" w:rsidRDefault="00977A61">
      <w:pPr>
        <w:ind w:firstLine="602"/>
        <w:rPr>
          <w:rFonts w:ascii="仿宋" w:eastAsia="仿宋" w:hAnsi="仿宋" w:cs="仿宋"/>
          <w:bCs/>
          <w:snapToGrid w:val="0"/>
          <w:kern w:val="16"/>
          <w:sz w:val="32"/>
          <w:szCs w:val="32"/>
        </w:rPr>
      </w:pPr>
    </w:p>
    <w:p w:rsidR="00385B98" w:rsidRDefault="00640511">
      <w:pPr>
        <w:kinsoku w:val="0"/>
        <w:overflowPunct w:val="0"/>
        <w:autoSpaceDE w:val="0"/>
        <w:autoSpaceDN w:val="0"/>
        <w:adjustRightInd w:val="0"/>
        <w:snapToGrid w:val="0"/>
        <w:ind w:firstLineChars="200" w:firstLine="640"/>
        <w:rPr>
          <w:rFonts w:ascii="黑体" w:eastAsia="黑体" w:hAnsi="黑体" w:cs="黑体"/>
          <w:snapToGrid w:val="0"/>
          <w:kern w:val="16"/>
          <w:sz w:val="32"/>
          <w:szCs w:val="32"/>
        </w:rPr>
      </w:pPr>
      <w:r>
        <w:rPr>
          <w:rFonts w:ascii="黑体" w:eastAsia="黑体" w:hAnsi="黑体" w:cs="黑体" w:hint="eastAsia"/>
          <w:snapToGrid w:val="0"/>
          <w:kern w:val="16"/>
          <w:sz w:val="32"/>
          <w:szCs w:val="32"/>
        </w:rPr>
        <w:t>十、重点项目预算绩效目标</w:t>
      </w:r>
    </w:p>
    <w:p w:rsidR="00385B98" w:rsidRDefault="00977A61">
      <w:pPr>
        <w:ind w:firstLine="602"/>
        <w:rPr>
          <w:rFonts w:ascii="仿宋" w:eastAsia="仿宋" w:hAnsi="仿宋" w:cs="仿宋"/>
          <w:bCs/>
          <w:snapToGrid w:val="0"/>
          <w:kern w:val="16"/>
          <w:sz w:val="32"/>
          <w:szCs w:val="32"/>
        </w:rPr>
      </w:pPr>
      <w:r>
        <w:rPr>
          <w:rFonts w:ascii="仿宋" w:eastAsia="仿宋" w:hAnsi="仿宋" w:cs="仿宋" w:hint="eastAsia"/>
          <w:bCs/>
          <w:snapToGrid w:val="0"/>
          <w:kern w:val="16"/>
          <w:sz w:val="32"/>
          <w:szCs w:val="32"/>
        </w:rPr>
        <w:lastRenderedPageBreak/>
        <w:t>无</w:t>
      </w:r>
      <w:r w:rsidR="00640511">
        <w:rPr>
          <w:rFonts w:ascii="仿宋" w:eastAsia="仿宋" w:hAnsi="仿宋" w:cs="仿宋" w:hint="eastAsia"/>
          <w:bCs/>
          <w:snapToGrid w:val="0"/>
          <w:kern w:val="16"/>
          <w:sz w:val="32"/>
          <w:szCs w:val="32"/>
        </w:rPr>
        <w:t xml:space="preserve">                </w:t>
      </w:r>
    </w:p>
    <w:p w:rsidR="00385B98" w:rsidRDefault="00385B98">
      <w:pPr>
        <w:ind w:firstLine="602"/>
        <w:rPr>
          <w:rFonts w:ascii="仿宋" w:eastAsia="仿宋" w:hAnsi="仿宋" w:cs="仿宋"/>
          <w:bCs/>
          <w:snapToGrid w:val="0"/>
          <w:kern w:val="16"/>
          <w:sz w:val="32"/>
          <w:szCs w:val="32"/>
        </w:rPr>
      </w:pPr>
    </w:p>
    <w:p w:rsidR="00385B98" w:rsidRDefault="00640511">
      <w:pPr>
        <w:adjustRightInd w:val="0"/>
        <w:snapToGrid w:val="0"/>
        <w:spacing w:line="360" w:lineRule="auto"/>
        <w:rPr>
          <w:rFonts w:ascii="黑体" w:eastAsia="黑体" w:hAnsi="黑体"/>
          <w:snapToGrid w:val="0"/>
          <w:kern w:val="16"/>
          <w:sz w:val="32"/>
          <w:szCs w:val="32"/>
        </w:rPr>
      </w:pPr>
      <w:r>
        <w:rPr>
          <w:rFonts w:ascii="黑体" w:eastAsia="黑体" w:hAnsi="黑体" w:hint="eastAsia"/>
          <w:snapToGrid w:val="0"/>
          <w:kern w:val="16"/>
          <w:sz w:val="32"/>
          <w:szCs w:val="32"/>
        </w:rPr>
        <w:t>附件：卢氏县</w:t>
      </w:r>
      <w:r>
        <w:rPr>
          <w:rFonts w:asciiTheme="majorEastAsia" w:eastAsiaTheme="majorEastAsia" w:hAnsiTheme="majorEastAsia" w:cstheme="majorEastAsia" w:hint="eastAsia"/>
          <w:b/>
          <w:bCs/>
          <w:sz w:val="36"/>
          <w:szCs w:val="36"/>
        </w:rPr>
        <w:t>林业局</w:t>
      </w:r>
      <w:r>
        <w:rPr>
          <w:rFonts w:ascii="黑体" w:eastAsia="黑体" w:hAnsi="黑体" w:hint="eastAsia"/>
          <w:snapToGrid w:val="0"/>
          <w:kern w:val="16"/>
          <w:sz w:val="32"/>
          <w:szCs w:val="32"/>
        </w:rPr>
        <w:t>2018年度部门预算十张表</w:t>
      </w:r>
    </w:p>
    <w:p w:rsidR="00385B98" w:rsidRDefault="00385B98">
      <w:pPr>
        <w:adjustRightInd w:val="0"/>
        <w:snapToGrid w:val="0"/>
        <w:spacing w:line="360" w:lineRule="auto"/>
        <w:ind w:firstLineChars="200" w:firstLine="640"/>
        <w:rPr>
          <w:rFonts w:ascii="黑体" w:eastAsia="黑体" w:hAnsi="黑体"/>
          <w:snapToGrid w:val="0"/>
          <w:kern w:val="16"/>
          <w:sz w:val="32"/>
          <w:szCs w:val="32"/>
        </w:rPr>
      </w:pPr>
    </w:p>
    <w:p w:rsidR="00385B98" w:rsidRDefault="00385B98">
      <w:pPr>
        <w:adjustRightInd w:val="0"/>
        <w:snapToGrid w:val="0"/>
        <w:spacing w:line="360" w:lineRule="auto"/>
        <w:rPr>
          <w:rFonts w:ascii="黑体" w:eastAsia="黑体" w:hAnsi="黑体"/>
          <w:snapToGrid w:val="0"/>
          <w:kern w:val="16"/>
          <w:sz w:val="32"/>
          <w:szCs w:val="32"/>
        </w:rPr>
      </w:pPr>
    </w:p>
    <w:p w:rsidR="00385B98" w:rsidRDefault="00385B98">
      <w:pPr>
        <w:adjustRightInd w:val="0"/>
        <w:snapToGrid w:val="0"/>
        <w:spacing w:line="360" w:lineRule="auto"/>
        <w:rPr>
          <w:rFonts w:ascii="黑体" w:eastAsia="黑体" w:hAnsi="黑体"/>
          <w:snapToGrid w:val="0"/>
          <w:kern w:val="16"/>
          <w:sz w:val="32"/>
          <w:szCs w:val="32"/>
        </w:rPr>
      </w:pPr>
    </w:p>
    <w:p w:rsidR="00385B98" w:rsidRDefault="00385B98">
      <w:pPr>
        <w:adjustRightInd w:val="0"/>
        <w:snapToGrid w:val="0"/>
        <w:spacing w:line="360" w:lineRule="auto"/>
        <w:rPr>
          <w:rFonts w:ascii="黑体" w:eastAsia="黑体" w:hAnsi="黑体"/>
          <w:snapToGrid w:val="0"/>
          <w:kern w:val="16"/>
          <w:sz w:val="32"/>
          <w:szCs w:val="32"/>
        </w:rPr>
      </w:pPr>
    </w:p>
    <w:p w:rsidR="00385B98" w:rsidRDefault="00385B98">
      <w:pPr>
        <w:spacing w:line="360" w:lineRule="auto"/>
        <w:rPr>
          <w:snapToGrid w:val="0"/>
          <w:kern w:val="16"/>
        </w:rPr>
      </w:pPr>
      <w:bookmarkStart w:id="0" w:name="_GoBack"/>
      <w:bookmarkEnd w:id="0"/>
    </w:p>
    <w:p w:rsidR="00385B98" w:rsidRDefault="00385B98">
      <w:pPr>
        <w:spacing w:line="360" w:lineRule="auto"/>
        <w:rPr>
          <w:snapToGrid w:val="0"/>
          <w:kern w:val="16"/>
        </w:rPr>
      </w:pPr>
    </w:p>
    <w:sectPr w:rsidR="00385B98" w:rsidSect="00385B98">
      <w:footerReference w:type="default" r:id="rId8"/>
      <w:pgSz w:w="11906" w:h="16838"/>
      <w:pgMar w:top="1440" w:right="1800" w:bottom="1440" w:left="1800"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B39" w:rsidRDefault="00D55B39" w:rsidP="00385B98">
      <w:r>
        <w:separator/>
      </w:r>
    </w:p>
  </w:endnote>
  <w:endnote w:type="continuationSeparator" w:id="0">
    <w:p w:rsidR="00D55B39" w:rsidRDefault="00D55B39" w:rsidP="00385B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B98" w:rsidRDefault="003617A3">
    <w:pPr>
      <w:pStyle w:val="a3"/>
      <w:jc w:val="center"/>
    </w:pPr>
    <w:r>
      <w:fldChar w:fldCharType="begin"/>
    </w:r>
    <w:r w:rsidR="00640511">
      <w:instrText xml:space="preserve"> PAGE   \* MERGEFORMAT </w:instrText>
    </w:r>
    <w:r>
      <w:fldChar w:fldCharType="separate"/>
    </w:r>
    <w:r w:rsidR="003F3613" w:rsidRPr="003F3613">
      <w:rPr>
        <w:noProof/>
        <w:lang w:val="zh-CN"/>
      </w:rPr>
      <w:t>1</w:t>
    </w:r>
    <w:r>
      <w:fldChar w:fldCharType="end"/>
    </w:r>
  </w:p>
  <w:p w:rsidR="00385B98" w:rsidRDefault="00385B9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B39" w:rsidRDefault="00D55B39" w:rsidP="00385B98">
      <w:r>
        <w:separator/>
      </w:r>
    </w:p>
  </w:footnote>
  <w:footnote w:type="continuationSeparator" w:id="0">
    <w:p w:rsidR="00D55B39" w:rsidRDefault="00D55B39" w:rsidP="00385B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411DD"/>
    <w:multiLevelType w:val="singleLevel"/>
    <w:tmpl w:val="5AF411DD"/>
    <w:lvl w:ilvl="0">
      <w:start w:val="1"/>
      <w:numFmt w:val="chineseCounting"/>
      <w:suff w:val="nothing"/>
      <w:lvlText w:val="（%1）"/>
      <w:lvlJc w:val="left"/>
    </w:lvl>
  </w:abstractNum>
  <w:abstractNum w:abstractNumId="1">
    <w:nsid w:val="5AF4149E"/>
    <w:multiLevelType w:val="singleLevel"/>
    <w:tmpl w:val="5AF4149E"/>
    <w:lvl w:ilvl="0">
      <w:start w:val="1"/>
      <w:numFmt w:val="chineseCounting"/>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4C7DEE"/>
    <w:rsid w:val="000907BF"/>
    <w:rsid w:val="00127393"/>
    <w:rsid w:val="0019190C"/>
    <w:rsid w:val="00255901"/>
    <w:rsid w:val="0030009A"/>
    <w:rsid w:val="003135C1"/>
    <w:rsid w:val="003617A3"/>
    <w:rsid w:val="00385B98"/>
    <w:rsid w:val="003F15C9"/>
    <w:rsid w:val="003F3613"/>
    <w:rsid w:val="004C1756"/>
    <w:rsid w:val="004C7DEE"/>
    <w:rsid w:val="00580EA7"/>
    <w:rsid w:val="00596CD1"/>
    <w:rsid w:val="005B1349"/>
    <w:rsid w:val="005D16C1"/>
    <w:rsid w:val="005D4EC4"/>
    <w:rsid w:val="0060027D"/>
    <w:rsid w:val="00640511"/>
    <w:rsid w:val="006454B4"/>
    <w:rsid w:val="006634B3"/>
    <w:rsid w:val="00712FCA"/>
    <w:rsid w:val="0072198B"/>
    <w:rsid w:val="00756180"/>
    <w:rsid w:val="00777916"/>
    <w:rsid w:val="00977A61"/>
    <w:rsid w:val="009B4036"/>
    <w:rsid w:val="009B45B8"/>
    <w:rsid w:val="00A57493"/>
    <w:rsid w:val="00A76D5C"/>
    <w:rsid w:val="00A8016A"/>
    <w:rsid w:val="00AA0507"/>
    <w:rsid w:val="00C3511B"/>
    <w:rsid w:val="00C81F35"/>
    <w:rsid w:val="00CD40DC"/>
    <w:rsid w:val="00D55B39"/>
    <w:rsid w:val="00DD0F76"/>
    <w:rsid w:val="00DF7176"/>
    <w:rsid w:val="00DF7C00"/>
    <w:rsid w:val="00E066E7"/>
    <w:rsid w:val="00E904BD"/>
    <w:rsid w:val="00F757B2"/>
    <w:rsid w:val="00F86F2F"/>
    <w:rsid w:val="00FA1240"/>
    <w:rsid w:val="040F188B"/>
    <w:rsid w:val="04EE68D3"/>
    <w:rsid w:val="07154AAD"/>
    <w:rsid w:val="073267DD"/>
    <w:rsid w:val="0A987F14"/>
    <w:rsid w:val="0C0E52FB"/>
    <w:rsid w:val="0CF765C2"/>
    <w:rsid w:val="0DBB12C0"/>
    <w:rsid w:val="0E4C2DCD"/>
    <w:rsid w:val="1076065A"/>
    <w:rsid w:val="146E3434"/>
    <w:rsid w:val="16B74BE1"/>
    <w:rsid w:val="173E580F"/>
    <w:rsid w:val="1A8205D4"/>
    <w:rsid w:val="1C2E697C"/>
    <w:rsid w:val="1D1D3BBD"/>
    <w:rsid w:val="1D715489"/>
    <w:rsid w:val="1EEB4653"/>
    <w:rsid w:val="227C3605"/>
    <w:rsid w:val="29FB41B0"/>
    <w:rsid w:val="2C606010"/>
    <w:rsid w:val="2F8E3307"/>
    <w:rsid w:val="2FDD3240"/>
    <w:rsid w:val="38A96564"/>
    <w:rsid w:val="3B211219"/>
    <w:rsid w:val="3DE1031B"/>
    <w:rsid w:val="41EC3064"/>
    <w:rsid w:val="4B0C686D"/>
    <w:rsid w:val="50CF1CB3"/>
    <w:rsid w:val="57C1184A"/>
    <w:rsid w:val="61097749"/>
    <w:rsid w:val="64B83B79"/>
    <w:rsid w:val="67B85006"/>
    <w:rsid w:val="711E71E9"/>
    <w:rsid w:val="74587801"/>
    <w:rsid w:val="745F7A22"/>
    <w:rsid w:val="785B4DB6"/>
    <w:rsid w:val="7C4E32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B98"/>
    <w:pPr>
      <w:widowControl w:val="0"/>
      <w:jc w:val="both"/>
    </w:pPr>
    <w:rPr>
      <w:rFonts w:ascii="Calibri" w:hAnsi="Calibri"/>
      <w:kern w:val="2"/>
      <w:sz w:val="21"/>
      <w:szCs w:val="22"/>
    </w:rPr>
  </w:style>
  <w:style w:type="paragraph" w:styleId="1">
    <w:name w:val="heading 1"/>
    <w:basedOn w:val="a"/>
    <w:next w:val="a"/>
    <w:uiPriority w:val="9"/>
    <w:qFormat/>
    <w:rsid w:val="00385B98"/>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85B98"/>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385B9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385B98"/>
    <w:rPr>
      <w:sz w:val="18"/>
      <w:szCs w:val="18"/>
    </w:rPr>
  </w:style>
  <w:style w:type="character" w:customStyle="1" w:styleId="Char">
    <w:name w:val="页脚 Char"/>
    <w:basedOn w:val="a0"/>
    <w:link w:val="a3"/>
    <w:uiPriority w:val="99"/>
    <w:qFormat/>
    <w:rsid w:val="00385B98"/>
    <w:rPr>
      <w:sz w:val="18"/>
      <w:szCs w:val="18"/>
    </w:rPr>
  </w:style>
  <w:style w:type="paragraph" w:styleId="a5">
    <w:name w:val="List Paragraph"/>
    <w:basedOn w:val="a"/>
    <w:uiPriority w:val="99"/>
    <w:unhideWhenUsed/>
    <w:rsid w:val="0019190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622</Words>
  <Characters>3552</Characters>
  <Application>Microsoft Office Word</Application>
  <DocSecurity>0</DocSecurity>
  <Lines>29</Lines>
  <Paragraphs>8</Paragraphs>
  <ScaleCrop>false</ScaleCrop>
  <Company/>
  <LinksUpToDate>false</LinksUpToDate>
  <CharactersWithSpaces>4166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11</cp:revision>
  <cp:lastPrinted>2018-05-10T11:25:00Z</cp:lastPrinted>
  <dcterms:created xsi:type="dcterms:W3CDTF">2018-05-11T03:57:00Z</dcterms:created>
  <dcterms:modified xsi:type="dcterms:W3CDTF">2018-05-11T08:52:00Z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