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政协机关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/>
          <w:sz w:val="32"/>
          <w:szCs w:val="32"/>
        </w:rPr>
        <w:t>政协机关下设办公室、提案委、民法委、教科文卫委、文史委、经济委6个职能科室。共有编制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sz w:val="32"/>
          <w:szCs w:val="32"/>
        </w:rPr>
        <w:t>人，其中：行政编制1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人，行政工勤编制2人。</w:t>
      </w:r>
      <w:r>
        <w:rPr>
          <w:rFonts w:hint="eastAsia" w:ascii="仿宋" w:hAnsi="仿宋" w:eastAsia="仿宋"/>
          <w:sz w:val="30"/>
          <w:szCs w:val="30"/>
        </w:rPr>
        <w:t>在职人员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</w:t>
      </w:r>
      <w:r>
        <w:rPr>
          <w:rFonts w:hint="eastAsia" w:ascii="仿宋" w:hAnsi="仿宋" w:eastAsia="仿宋"/>
          <w:sz w:val="30"/>
          <w:szCs w:val="30"/>
        </w:rPr>
        <w:t>人，离退休人员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24</w:t>
      </w:r>
      <w:r>
        <w:rPr>
          <w:rFonts w:hint="eastAsia" w:ascii="仿宋" w:hAnsi="仿宋" w:eastAsia="仿宋"/>
          <w:sz w:val="30"/>
          <w:szCs w:val="30"/>
        </w:rPr>
        <w:t>人。</w:t>
      </w:r>
      <w:r>
        <w:rPr>
          <w:rFonts w:hint="eastAsia" w:ascii="仿宋" w:hAnsi="仿宋" w:eastAsia="仿宋"/>
          <w:sz w:val="32"/>
          <w:szCs w:val="32"/>
        </w:rPr>
        <w:t>按照卢办（2006）46号文件规定，主要职能是：政治协商、民主监督、参政议政。本部门没有二级预算单位。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政协机关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264.23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264.23</w:t>
      </w:r>
      <w:r>
        <w:rPr>
          <w:rFonts w:hint="eastAsia" w:ascii="仿宋_GB2312" w:hAnsi="宋体" w:eastAsia="仿宋_GB2312" w:cs="Courier New"/>
          <w:sz w:val="32"/>
          <w:szCs w:val="32"/>
        </w:rPr>
        <w:t>万元，与201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Courier New"/>
          <w:sz w:val="32"/>
          <w:szCs w:val="32"/>
        </w:rPr>
        <w:t>年相比，收、支总计各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62.32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19%</w:t>
      </w:r>
      <w:r>
        <w:rPr>
          <w:rFonts w:hint="eastAsia" w:ascii="仿宋_GB2312" w:hAnsi="宋体" w:eastAsia="仿宋_GB2312" w:cs="Courier New"/>
          <w:sz w:val="32"/>
          <w:szCs w:val="32"/>
        </w:rPr>
        <w:t>。主要原因：基本支出较上年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87.32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因对个人和家庭的补助没有列当年预算，项目支出较上年增加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25万元，总计减少62.32。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政协机关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264.23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年相比，一般公共预算收支预算减少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62.32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万元，减少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政协机关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264.23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264.23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政协机关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264.23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156.34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107.89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政协机关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264.23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264.23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62.32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%。主要原因为</w:t>
      </w:r>
      <w:r>
        <w:rPr>
          <w:rFonts w:hint="eastAsia" w:ascii="仿宋_GB2312" w:hAnsi="宋体" w:eastAsia="仿宋_GB2312" w:cs="Courier New"/>
          <w:sz w:val="32"/>
          <w:szCs w:val="32"/>
        </w:rPr>
        <w:t>基本支出较上年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87.32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因对个人和家庭的补助没有列当年预算，项目支出较上年增加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25万元，总计减少62.32万元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政协机关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2018年一般公共预算支出年初预算为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264.23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工资福利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153.09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万元，占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107.88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政协机关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156.35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153.09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</w:t>
      </w:r>
      <w:bookmarkStart w:id="0" w:name="_GoBack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工资、其他工资福利支出、离休费、退休费、退职（役）费、</w:t>
      </w:r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抚恤金、生活补助、 医疗费、助学金、奖励金、住房公积金、提租补贴、购房补贴、 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3.26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政协机关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政协机关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 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kern w:val="16"/>
          <w:sz w:val="32"/>
          <w:szCs w:val="32"/>
          <w:lang w:eastAsia="zh-CN"/>
        </w:rPr>
        <w:t>政协机关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5C7109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40F188B"/>
    <w:rsid w:val="04EE68D3"/>
    <w:rsid w:val="052D4417"/>
    <w:rsid w:val="07154AAD"/>
    <w:rsid w:val="08AA1B45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7D547A"/>
    <w:rsid w:val="1A8205D4"/>
    <w:rsid w:val="1D1D3BBD"/>
    <w:rsid w:val="1D715489"/>
    <w:rsid w:val="1EEB4653"/>
    <w:rsid w:val="224C1BC3"/>
    <w:rsid w:val="24852090"/>
    <w:rsid w:val="25705A60"/>
    <w:rsid w:val="29FB41B0"/>
    <w:rsid w:val="2AAC2758"/>
    <w:rsid w:val="2AF1378B"/>
    <w:rsid w:val="2D5B45CA"/>
    <w:rsid w:val="392F572A"/>
    <w:rsid w:val="3B211219"/>
    <w:rsid w:val="3DE1031B"/>
    <w:rsid w:val="410D7238"/>
    <w:rsid w:val="41EC3064"/>
    <w:rsid w:val="47091CC7"/>
    <w:rsid w:val="4B0C686D"/>
    <w:rsid w:val="4D995A8C"/>
    <w:rsid w:val="4E4915DB"/>
    <w:rsid w:val="50CF1CB3"/>
    <w:rsid w:val="55987565"/>
    <w:rsid w:val="57C1184A"/>
    <w:rsid w:val="5C736C17"/>
    <w:rsid w:val="60292D5B"/>
    <w:rsid w:val="61097749"/>
    <w:rsid w:val="61DC588E"/>
    <w:rsid w:val="64B83B79"/>
    <w:rsid w:val="6F8C1A1F"/>
    <w:rsid w:val="6FAD06AA"/>
    <w:rsid w:val="74587801"/>
    <w:rsid w:val="745F7A22"/>
    <w:rsid w:val="77620331"/>
    <w:rsid w:val="785B4DB6"/>
    <w:rsid w:val="7C4E32C4"/>
    <w:rsid w:val="7E2E7DE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ScaleCrop>false</ScaleCrop>
  <LinksUpToDate>false</LinksUpToDate>
  <CharactersWithSpaces>2386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2018-05-11T07:40:00Z</cp:lastPrinted>
  <dcterms:modified xsi:type="dcterms:W3CDTF">2018-05-14T07:51:19Z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