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烟叶生产服务中心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预算公开情况说明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一是拟订并组织实施全县烟叶生产及技术方案、发展规划、中长期计划和年度计划；二是负责对全县烟叶种植计划的分配、实施和落实；三是负责烟叶生产标准化措施的推广和落实；四是负责全县烟叶生产各个环节现场观摩会的组织和实施；五是负责全县烟叶生产整地起垄、育苗、移栽、大田管理、烘烤收购五个环节的检查和评比；六是负责全县烟叶生产重点工作、关键措施的督导、检查和评比；七是负责全县烟叶生产技术培训的组织实施和落实；八是负责全县烟叶生产经验总结和组织实施，对先进典型进行表彰；九是承办县政府交办的其他事项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564.56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120.58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27.16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564.56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564.56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564.56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97.56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17.28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467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82.72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564.56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564.56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120.58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27.16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%。主要原因：基本支出较上年减少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23.42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退休人员工资转到养老所发放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。项目支出较上年增加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44.58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新增烟叶保险县级保费补贴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144万元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2018年一般公共预算支出年初预算为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564.56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行政运行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393.93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69.78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%；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机关事业单位基本养老保险缴费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12.7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2.25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；死亡抚恤支出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2.19万元，占0.39%；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行政单位医疗保险支出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4.13万元，占0.73%；农业保险保费补贴支出144万元，占25.51%；住房公积金支出7.62万元，占1.35%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97.6</w:t>
      </w: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93.7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3.9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烟叶生产服务中心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万元，主要用于开展工作所需公务用车的燃料费、维修费、过路过桥费、保险费、安全奖励费用等支出。公务用车购置费预算数比2017年增加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县机关事务管理局收缴单位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公务用车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1辆，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上年支出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万元。主要原因：按照公务接待相关要求，减少公务接待费用。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烟叶生产服务中心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281769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qFormat/>
    <w:uiPriority w:val="1"/>
  </w:style>
  <w:style w:type="table" w:default="1" w:styleId="6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2347</Words>
  <Characters>2548</Characters>
  <Lines>0</Lines>
  <Paragraphs>48</Paragraphs>
  <TotalTime>0</TotalTime>
  <ScaleCrop>false</ScaleCrop>
  <LinksUpToDate>false</LinksUpToDate>
  <CharactersWithSpaces>2578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Administrator</cp:lastModifiedBy>
  <cp:lastPrinted>2018-05-10T11:25:00Z</cp:lastPrinted>
  <dcterms:modified xsi:type="dcterms:W3CDTF">2018-05-15T00:43:35Z</dcterms:modified>
  <dc:title>卢氏县烟叶生产服务中心2018年度部门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