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卢氏县</w:t>
      </w:r>
      <w:r>
        <w:rPr>
          <w:rFonts w:hint="eastAsia"/>
          <w:lang w:val="en-US" w:eastAsia="zh-CN"/>
        </w:rPr>
        <w:t>农业畜牧局</w:t>
      </w:r>
      <w:r>
        <w:rPr>
          <w:rFonts w:hint="eastAsia"/>
        </w:rPr>
        <w:t>201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年度部门预算</w:t>
      </w:r>
      <w:r>
        <w:rPr>
          <w:rFonts w:hint="eastAsia"/>
          <w:lang w:eastAsia="zh-CN"/>
        </w:rPr>
        <w:t>公开</w:t>
      </w:r>
    </w:p>
    <w:p>
      <w:pPr>
        <w:pStyle w:val="2"/>
        <w:jc w:val="center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</w:rPr>
      </w:pPr>
      <w:r>
        <w:rPr>
          <w:rFonts w:hint="eastAsia"/>
        </w:rPr>
        <w:t>情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况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说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部门主要职责及机构设置情况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农牧局机关内设13个职能科室，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共有编制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121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人，其中：行政编制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人，事业编制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109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人；在职人员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115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人，离退休人员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108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主要职责是：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1、贯彻有关农业工作的方针、政策、行业管理规章。</w:t>
      </w:r>
    </w:p>
    <w:p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2、拟订全县农业和农村经济发展规划并组织实施。</w:t>
      </w:r>
    </w:p>
    <w:p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3、承担完善全县农村经营管理体制的责任。</w:t>
      </w:r>
    </w:p>
    <w:p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4、指导全县粮食等主要农产品生产，引导农业产业结构调整和产品品质的改善。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5、提出全县农业经济结构调整的意见、规划并组织实施； 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6、承担提升全县农牧产品质量安全水平的责任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组织监督管理农牧产品质量安全。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7、组织、协调全县农业生产资料市场体系建设。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8、负责全县农作物及动物重大病虫害防治。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9、承担农业防灾减灾的责任。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10、负责全县农业信息体系建设，指导农业信息服务工作。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11、拟订全县农业政策并组织实施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负责农业植物新品种保护。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12、会同有关部门拟定全县农业农村人才队伍建设规划并组织实施。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13、组织全县农业资源区规划工作。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14、制定并实施全县农业生态建设规划，指导农村可再生能源综合开发与利用。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15、依法组织实施农业机械的安全监理，指导农机安全生产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提高农业机械化推广、普及和应用水平。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16、指导全县畜牧业生产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全县畜牧业技术服务体系建设。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17、负责全县动物防疫工作，负责全县畜禽疫病监测检验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负责突发重大动物疫情事件应急管理工作。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18、负责畜产品质量安全监督管理工作。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19、承办县政府交办的其他事项。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二、本级预算和所属单位预算在内的汇总预算情况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卢氏县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农业畜牧局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年一般公共预算收支预算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1760.60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万元。与 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年相比，一般公共预算收支预算增加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372.60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26.8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（一）</w:t>
      </w: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  <w:t>收入预算总体情况说明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卢氏县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农业畜牧局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年收入合计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1760.60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万元，其中：一般公共预算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1760.60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万元;政府性基金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其他收入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（二）支出预算总体情况说明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卢氏县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农业畜牧局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年支出合计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1760.60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万元，其中：基本支出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1140.83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64.8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%；项目支出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619.77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35.2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预算收支增减变化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宋体" w:eastAsia="仿宋_GB2312" w:cs="Courier New"/>
          <w:snapToGrid w:val="0"/>
          <w:spacing w:val="0"/>
          <w:kern w:val="16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卢氏县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农业畜牧局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年收入总计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1760.60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万元，支出总计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1760.60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年相比，收、支总计各增加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372.60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26.8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%。主要原因：基本支出较上年减少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78.87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2017年后半年单位有部分职工退休，2018年人员工资及公用经费相应要减少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。项目支出较上年增加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451.47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268.25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%。主要原因为上级对农业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产业扶贫项目投入增加和县本级配套资金增加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、一般公共预算支出预算情况说明</w:t>
      </w:r>
    </w:p>
    <w:p>
      <w:pPr>
        <w:spacing w:line="560" w:lineRule="exact"/>
        <w:ind w:left="160" w:leftChars="76" w:firstLine="480" w:firstLineChars="150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卢氏县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农业畜牧局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年一般公共预算支出年初预算为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1516.41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万元。主要用于以下方面：社会保障和就业支出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162.69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%；医疗卫生支出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41.49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%；住房保障（类）支出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76.61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;农林水支出1235.62万元,占81.5%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五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机关运行经费安排情况说明</w:t>
      </w:r>
    </w:p>
    <w:p>
      <w:pPr>
        <w:spacing w:line="560" w:lineRule="exact"/>
        <w:ind w:left="160" w:leftChars="76" w:firstLine="480" w:firstLineChars="15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卢氏县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农业畜牧局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年一般公共预算基本支出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1140.83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万元，其中：人员经费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1090.60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主要包括：（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）；机关运行经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50.23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六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、政府性基金预算支出决算情况说明</w:t>
      </w:r>
    </w:p>
    <w:p>
      <w:pPr>
        <w:spacing w:line="560" w:lineRule="exact"/>
        <w:ind w:left="160" w:leftChars="76" w:firstLine="480" w:firstLineChars="15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卢氏县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农业畜牧局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年政府性基金预算拨款安排支出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七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 “三公”经费支出预算情况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及增减变化原因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说明</w:t>
      </w:r>
    </w:p>
    <w:p>
      <w:pPr>
        <w:spacing w:line="560" w:lineRule="exact"/>
        <w:ind w:left="160" w:leftChars="76" w:firstLine="480" w:firstLineChars="15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卢氏县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农业畜牧局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年“三公”经费预算为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13.44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万元。201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年“三公”经费支出预算数比 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年预算数减少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0.56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万元。具体支出情况如下：</w:t>
      </w:r>
    </w:p>
    <w:p>
      <w:pPr>
        <w:spacing w:line="560" w:lineRule="exact"/>
        <w:ind w:left="160" w:leftChars="76" w:firstLine="480" w:firstLineChars="15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万元，主要用于单位工作人员公务出国（境）的住宿费、旅费、伙食补助费、杂费、培训费等支出。预算数比201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万元。</w:t>
      </w:r>
    </w:p>
    <w:p>
      <w:pPr>
        <w:spacing w:line="560" w:lineRule="exact"/>
        <w:ind w:left="160" w:leftChars="76" w:firstLine="480" w:firstLineChars="15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（二）公务用车购置及运行费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万元，其中，公务用车购置费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万元；公务用车运行维护费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万元，主要用于开展工作所需公务用车的燃料费、维修费、过路过桥费、保险费、安全奖励费用等支出。公务用车购置费预算数预算数比201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万元。公务用车运行维护费预算数比 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万元，主要原因：因工作需要，单位业务量增多公务用车运行维护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费在上年支出的基础上适当增加。</w:t>
      </w:r>
    </w:p>
    <w:p>
      <w:pPr>
        <w:spacing w:line="560" w:lineRule="exact"/>
        <w:ind w:left="160" w:leftChars="76" w:firstLine="480" w:firstLineChars="15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（三）公务接待费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5.44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万元，主要用于按规定开支的各类公务接待（含外宾接待）支出。预算数和201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1.56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万元。主要原因：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加强单位内部控制制度建设，完善公务接待审批手续，严格控制接待标准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八、政府采购安排情况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2018年(有或无)政府采购，具体事项：2018年重大动物疫病防控工作由原来的按照乡级、村级防疫员按照标准发放劳务费，今年按照改革方案采取政府购买服务方式进行。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九、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名词解释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（一）财政拨款收入：是指财政当年拨付的资金。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（二）事业收入：是指事业单位开展专业活动及辅助活动所取得的收入。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（三）其他收入：是指部门取得的除“财政拨款”、“事业收入”、“事业单位经营收入”等以外的收入。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（五）基本支出：是指为保障机构正常运转、完成日常工作任务所必需的开支，其内容包括人员经费和日常公用经费两部分。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（六）项目支出：是指在基本支出之外，为完成特定的行政工作任务或事业发展目标所发生的支出。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十、重点项目预算绩效目标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无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附件：卢氏县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农业畜牧局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年度部门预算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十张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表</w:t>
      </w:r>
    </w:p>
    <w:p>
      <w:pPr>
        <w:adjustRightInd w:val="0"/>
        <w:snapToGrid w:val="0"/>
        <w:spacing w:line="360" w:lineRule="auto"/>
        <w:ind w:left="0" w:leftChars="0" w:firstLine="640" w:firstLineChars="20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spacing w:line="360" w:lineRule="auto"/>
        <w:ind w:left="0" w:leftChars="0"/>
        <w:jc w:val="both"/>
        <w:rPr>
          <w:snapToGrid w:val="0"/>
          <w:spacing w:val="0"/>
          <w:kern w:val="16"/>
          <w:sz w:val="21"/>
          <w:szCs w:val="2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DD0F76"/>
    <w:rsid w:val="00DF7176"/>
    <w:rsid w:val="00DF7C00"/>
    <w:rsid w:val="00E066E7"/>
    <w:rsid w:val="00E904BD"/>
    <w:rsid w:val="00F757B2"/>
    <w:rsid w:val="00F86F2F"/>
    <w:rsid w:val="012B419F"/>
    <w:rsid w:val="01EB5EBF"/>
    <w:rsid w:val="02ED10F0"/>
    <w:rsid w:val="040F188B"/>
    <w:rsid w:val="04EE68D3"/>
    <w:rsid w:val="07154AAD"/>
    <w:rsid w:val="073267DD"/>
    <w:rsid w:val="0A050387"/>
    <w:rsid w:val="0A987F14"/>
    <w:rsid w:val="0C0E52FB"/>
    <w:rsid w:val="0CF765C2"/>
    <w:rsid w:val="0DBB12C0"/>
    <w:rsid w:val="0E4C2DCD"/>
    <w:rsid w:val="1076065A"/>
    <w:rsid w:val="10DB6A13"/>
    <w:rsid w:val="146E3434"/>
    <w:rsid w:val="16B74BE1"/>
    <w:rsid w:val="173E580F"/>
    <w:rsid w:val="1A8205D4"/>
    <w:rsid w:val="1C2E697C"/>
    <w:rsid w:val="1D1D3BBD"/>
    <w:rsid w:val="1D715489"/>
    <w:rsid w:val="1EEB4653"/>
    <w:rsid w:val="29FB41B0"/>
    <w:rsid w:val="2AD53EB1"/>
    <w:rsid w:val="2C606010"/>
    <w:rsid w:val="2F8E3307"/>
    <w:rsid w:val="3B211219"/>
    <w:rsid w:val="3C10261E"/>
    <w:rsid w:val="3DE1031B"/>
    <w:rsid w:val="41EC3064"/>
    <w:rsid w:val="4B0C686D"/>
    <w:rsid w:val="4D431D2D"/>
    <w:rsid w:val="50CF1CB3"/>
    <w:rsid w:val="57C1184A"/>
    <w:rsid w:val="61097749"/>
    <w:rsid w:val="64B83B79"/>
    <w:rsid w:val="67B85006"/>
    <w:rsid w:val="69294170"/>
    <w:rsid w:val="69E07508"/>
    <w:rsid w:val="711E71E9"/>
    <w:rsid w:val="74587801"/>
    <w:rsid w:val="745F7A22"/>
    <w:rsid w:val="75F10BAA"/>
    <w:rsid w:val="785B4DB6"/>
    <w:rsid w:val="789D63B6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358</Words>
  <Characters>2047</Characters>
  <Lines>17</Lines>
  <Paragraphs>4</Paragraphs>
  <TotalTime>8</TotalTime>
  <ScaleCrop>false</ScaleCrop>
  <LinksUpToDate>false</LinksUpToDate>
  <CharactersWithSpaces>2401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白天不睡觉</cp:lastModifiedBy>
  <cp:lastPrinted>2018-05-10T11:25:00Z</cp:lastPrinted>
  <dcterms:modified xsi:type="dcterms:W3CDTF">2018-05-14T08:28:46Z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