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34" w:rsidRDefault="001A5634" w:rsidP="001A5634">
      <w:pPr>
        <w:widowControl/>
        <w:shd w:val="clear" w:color="auto" w:fill="FFFFFF"/>
        <w:spacing w:line="645" w:lineRule="atLeast"/>
        <w:ind w:firstLineChars="0" w:firstLine="0"/>
        <w:jc w:val="center"/>
        <w:rPr>
          <w:rFonts w:ascii="宋体" w:eastAsia="宋体" w:hAnsi="宋体" w:cs="宋体" w:hint="eastAsia"/>
          <w:b/>
          <w:bCs/>
          <w:color w:val="444444"/>
          <w:kern w:val="0"/>
          <w:sz w:val="4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44"/>
        </w:rPr>
        <w:t>卢氏县</w:t>
      </w:r>
      <w:r w:rsidRPr="001A5634">
        <w:rPr>
          <w:rFonts w:ascii="宋体" w:eastAsia="宋体" w:hAnsi="宋体" w:cs="宋体" w:hint="eastAsia"/>
          <w:b/>
          <w:bCs/>
          <w:color w:val="444444"/>
          <w:kern w:val="0"/>
          <w:sz w:val="44"/>
        </w:rPr>
        <w:t>重大政策和重点项目等</w:t>
      </w:r>
    </w:p>
    <w:p w:rsidR="001A5634" w:rsidRPr="001A5634" w:rsidRDefault="001A5634" w:rsidP="001A5634">
      <w:pPr>
        <w:widowControl/>
        <w:shd w:val="clear" w:color="auto" w:fill="FFFFFF"/>
        <w:spacing w:line="645" w:lineRule="atLeast"/>
        <w:ind w:firstLineChars="0" w:firstLine="0"/>
        <w:jc w:val="center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1A5634">
        <w:rPr>
          <w:rFonts w:ascii="宋体" w:eastAsia="宋体" w:hAnsi="宋体" w:cs="宋体" w:hint="eastAsia"/>
          <w:b/>
          <w:bCs/>
          <w:color w:val="444444"/>
          <w:kern w:val="0"/>
          <w:sz w:val="44"/>
        </w:rPr>
        <w:t>绩效目标</w:t>
      </w:r>
    </w:p>
    <w:p w:rsidR="001A5634" w:rsidRPr="001A5634" w:rsidRDefault="001A5634" w:rsidP="001A5634">
      <w:pPr>
        <w:widowControl/>
        <w:shd w:val="clear" w:color="auto" w:fill="FFFFFF"/>
        <w:spacing w:line="765" w:lineRule="atLeast"/>
        <w:ind w:firstLineChars="0" w:firstLine="645"/>
        <w:jc w:val="left"/>
        <w:outlineLvl w:val="0"/>
        <w:rPr>
          <w:rFonts w:ascii="宋体" w:eastAsia="宋体" w:hAnsi="宋体" w:cs="宋体" w:hint="eastAsia"/>
          <w:color w:val="444444"/>
          <w:kern w:val="36"/>
          <w:sz w:val="51"/>
          <w:szCs w:val="51"/>
        </w:rPr>
      </w:pPr>
      <w:r w:rsidRPr="001A5634">
        <w:rPr>
          <w:rFonts w:ascii="仿宋_GB2312" w:eastAsia="仿宋_GB2312" w:hAnsi="宋体" w:cs="宋体" w:hint="eastAsia"/>
          <w:color w:val="444444"/>
          <w:kern w:val="36"/>
          <w:sz w:val="32"/>
          <w:szCs w:val="32"/>
          <w:bdr w:val="none" w:sz="0" w:space="0" w:color="auto" w:frame="1"/>
        </w:rPr>
        <w:t>一、重大政策</w:t>
      </w:r>
    </w:p>
    <w:p w:rsidR="001A5634" w:rsidRPr="001A5634" w:rsidRDefault="001A5634" w:rsidP="001A5634">
      <w:pPr>
        <w:widowControl/>
        <w:shd w:val="clear" w:color="auto" w:fill="FFFFFF"/>
        <w:spacing w:line="240" w:lineRule="auto"/>
        <w:ind w:firstLineChars="0" w:firstLine="64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1A5634"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按照《关于实施小微企业普惠性税收减免政策的通知》、《关于调整增值税税率的通知》、《关于统一增值税小规模纳税人标准的通知》等相关文件要求，落实好个人所得税专项附加扣除政策，减轻居民负担。对增值税小规模纳税人按50%的税额幅度内减征资源税、城市维护建设税、房产税、城镇土地使用税、印花税（不含证券交易印花税）、耕地占用税和教育费附加、地方教育附加。我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县</w:t>
      </w:r>
      <w:r w:rsidRPr="001A5634"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通过采取各项措施大力推进减税降费政策的落地，有效激发了企业的发展活力，推动实体经济高质量发展。</w:t>
      </w:r>
    </w:p>
    <w:p w:rsidR="001A5634" w:rsidRPr="001A5634" w:rsidRDefault="001A5634" w:rsidP="001A5634">
      <w:pPr>
        <w:widowControl/>
        <w:shd w:val="clear" w:color="auto" w:fill="FFFFFF"/>
        <w:spacing w:line="240" w:lineRule="auto"/>
        <w:ind w:firstLineChars="0" w:firstLine="64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1A5634"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二、重点项目绩效目标</w:t>
      </w:r>
    </w:p>
    <w:p w:rsidR="001A5634" w:rsidRPr="001A5634" w:rsidRDefault="001A5634" w:rsidP="001A5634">
      <w:pPr>
        <w:widowControl/>
        <w:shd w:val="clear" w:color="auto" w:fill="FFFFFF"/>
        <w:spacing w:line="600" w:lineRule="atLeast"/>
        <w:ind w:firstLineChars="0" w:firstLine="6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1A5634"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全面绩效编制预算，年初预算编制时，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项目建设部门和单位</w:t>
      </w:r>
      <w:r w:rsidRPr="001A5634">
        <w:rPr>
          <w:rFonts w:ascii="仿宋_GB2312" w:eastAsia="仿宋_GB2312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需填报项目绩效目标，并编制项目绩效可行性方案。重点加强扶贫绩效管理，扶贫项目资金全部纳入绩效管理，并按照年初绩效目标完成情况进行自评。通过财政扶贫资金动态监控平台，对资金下达，项目措施，绩效情况等进行有效监控和实时预警。对项目资金下达不及时，绩效设置不合理的及时督促相关部门单位整改，提高绩效编制水平。</w:t>
      </w:r>
    </w:p>
    <w:p w:rsidR="00E8350E" w:rsidRDefault="00E8350E" w:rsidP="00071957">
      <w:pPr>
        <w:ind w:firstLine="420"/>
      </w:pPr>
    </w:p>
    <w:sectPr w:rsidR="00E8350E" w:rsidSect="00E8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634"/>
    <w:rsid w:val="00071957"/>
    <w:rsid w:val="00185ACD"/>
    <w:rsid w:val="001A5634"/>
    <w:rsid w:val="00BC00A2"/>
    <w:rsid w:val="00DA70CC"/>
    <w:rsid w:val="00E802F1"/>
    <w:rsid w:val="00E8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5634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63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563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5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2019-12-12T09:40:00Z</dcterms:created>
  <dcterms:modified xsi:type="dcterms:W3CDTF">2019-12-12T09:45:00Z</dcterms:modified>
</cp:coreProperties>
</file>