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9"/>
        <w:rPr>
          <w:rFonts w:hint="eastAsia" w:ascii="黑体" w:hAnsi="Times New Roman" w:eastAsia="黑体" w:cs="Times New Roman"/>
          <w:spacing w:val="-11"/>
          <w:kern w:val="2"/>
          <w:sz w:val="32"/>
          <w:szCs w:val="32"/>
          <w:lang w:eastAsia="zh-CN"/>
        </w:rPr>
      </w:pPr>
      <w:r>
        <w:rPr>
          <w:rFonts w:hint="eastAsia" w:ascii="黑体" w:hAnsi="Times New Roman" w:eastAsia="黑体" w:cs="Times New Roman"/>
          <w:spacing w:val="-11"/>
          <w:kern w:val="2"/>
          <w:sz w:val="32"/>
          <w:szCs w:val="32"/>
          <w:lang w:eastAsia="zh-CN"/>
        </w:rPr>
        <w:t>附</w:t>
      </w:r>
      <w:r>
        <w:rPr>
          <w:rFonts w:hint="eastAsia" w:ascii="黑体" w:hAnsi="Times New Roman" w:eastAsia="黑体" w:cs="Times New Roman"/>
          <w:spacing w:val="-11"/>
          <w:kern w:val="2"/>
          <w:sz w:val="32"/>
          <w:szCs w:val="32"/>
        </w:rPr>
        <w:t>表</w:t>
      </w:r>
      <w:r>
        <w:rPr>
          <w:rFonts w:hint="eastAsia" w:ascii="黑体" w:hAnsi="Times New Roman" w:eastAsia="黑体" w:cs="Times New Roman"/>
          <w:spacing w:val="-11"/>
          <w:kern w:val="2"/>
          <w:sz w:val="32"/>
          <w:szCs w:val="32"/>
          <w:lang w:val="en-US" w:eastAsia="zh-CN"/>
        </w:rPr>
        <w:t>4</w:t>
      </w:r>
      <w:r>
        <w:rPr>
          <w:rFonts w:hint="eastAsia" w:ascii="黑体" w:hAnsi="Times New Roman" w:eastAsia="黑体" w:cs="Times New Roman"/>
          <w:spacing w:val="-11"/>
          <w:kern w:val="2"/>
          <w:sz w:val="32"/>
          <w:szCs w:val="32"/>
        </w:rPr>
        <w:t xml:space="preserve">  综合抚育小班</w:t>
      </w:r>
      <w:r>
        <w:rPr>
          <w:rFonts w:hint="eastAsia" w:ascii="黑体" w:hAnsi="Times New Roman" w:eastAsia="黑体" w:cs="Times New Roman"/>
          <w:spacing w:val="-11"/>
          <w:kern w:val="2"/>
          <w:sz w:val="32"/>
          <w:szCs w:val="32"/>
          <w:lang w:eastAsia="zh-CN"/>
        </w:rPr>
        <w:t>竣工验收结果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eastAsia="zh-CN"/>
        </w:rPr>
        <w:t>乡镇（林场）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>村（林班）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 xml:space="preserve"> 小班   居民组：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lang w:val="en-US" w:eastAsia="zh-CN"/>
        </w:rPr>
        <w:t xml:space="preserve"> 小地名：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20" w:leftChars="-20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>施工单位（个人）：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 xml:space="preserve">  陪检代表签名：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none"/>
          <w:lang w:val="en-US" w:eastAsia="zh-CN"/>
        </w:rPr>
        <w:t xml:space="preserve"> 电话：</w:t>
      </w:r>
      <w:r>
        <w:rPr>
          <w:rFonts w:hint="eastAsia" w:ascii="仿宋" w:hAnsi="仿宋" w:eastAsia="仿宋" w:cs="仿宋"/>
          <w:b/>
          <w:bCs/>
          <w:spacing w:val="-11"/>
          <w:kern w:val="2"/>
          <w:sz w:val="28"/>
          <w:szCs w:val="28"/>
          <w:u w:val="single"/>
          <w:lang w:val="en-US" w:eastAsia="zh-CN"/>
        </w:rPr>
        <w:t xml:space="preserve">                    </w:t>
      </w:r>
    </w:p>
    <w:tbl>
      <w:tblPr>
        <w:tblStyle w:val="4"/>
        <w:tblpPr w:leftFromText="180" w:rightFromText="180" w:vertAnchor="text" w:horzAnchor="page" w:tblpXSpec="center" w:tblpY="294"/>
        <w:tblOverlap w:val="never"/>
        <w:tblW w:w="10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2"/>
        <w:gridCol w:w="660"/>
        <w:gridCol w:w="636"/>
        <w:gridCol w:w="1200"/>
        <w:gridCol w:w="1128"/>
        <w:gridCol w:w="4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  <w:jc w:val="center"/>
        </w:trPr>
        <w:tc>
          <w:tcPr>
            <w:tcW w:w="22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验收项目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标准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分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实得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分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或施工前</w:t>
            </w:r>
          </w:p>
        </w:tc>
        <w:tc>
          <w:tcPr>
            <w:tcW w:w="11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核实结果或施工后</w:t>
            </w:r>
          </w:p>
        </w:tc>
        <w:tc>
          <w:tcPr>
            <w:tcW w:w="46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eastAsia="zh-CN"/>
              </w:rPr>
              <w:t>检查方法及评分标准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作业面积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65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小于作业设计面积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%以上的，不得分。越界作业的为不合格作业区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郁闭度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65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符合调查设计要求的得满分，否则不得分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平均胸径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65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允许误差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%；每超过±1%扣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树种组成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65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 xml:space="preserve">符合作业设计得满分，否则不得分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采伐目标树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65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每采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株扣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7.5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分。超过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株为不合格作业区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采伐未挂号树木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20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1128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4657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每采 1 株扣 1 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应采未采木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过密局部是否间伐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应采木漏采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株扣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未对林分中过密林团进行抚育间伐的不得分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抚育间伐后林团郁闭度仍高于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  <w:lang w:val="en-US" w:eastAsia="zh-CN"/>
              </w:rPr>
              <w:t>0.7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的扣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  <w:lang w:val="en-US" w:eastAsia="zh-CN"/>
              </w:rPr>
              <w:t>2-4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分。林分中无群团状分布的不扣分。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林隙、空地是否补植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未在林隙和空地补植的不得分，补植后株数密度低于规定值30%-50%的扣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-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分。无林隙空地的不扣分。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割灌除草时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1"/>
                <w:szCs w:val="21"/>
              </w:rPr>
              <w:t>珍稀物种及有生长潜力的幼树幼苗是否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得到</w:t>
            </w:r>
            <w:r>
              <w:rPr>
                <w:rFonts w:hint="eastAsia" w:ascii="宋体" w:hAnsi="宋体" w:cs="宋体"/>
                <w:color w:val="000000"/>
                <w:spacing w:val="-11"/>
                <w:kern w:val="0"/>
                <w:sz w:val="21"/>
                <w:szCs w:val="21"/>
              </w:rPr>
              <w:t>保护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11"/>
                <w:kern w:val="0"/>
                <w:sz w:val="21"/>
                <w:szCs w:val="21"/>
              </w:rPr>
              <w:t>未清除珍稀物种和目标幼树的得满分</w:t>
            </w:r>
            <w:r>
              <w:rPr>
                <w:rFonts w:hint="eastAsia" w:ascii="宋体" w:hAnsi="宋体" w:cs="宋体"/>
                <w:spacing w:val="-11"/>
                <w:kern w:val="0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spacing w:val="-11"/>
                <w:kern w:val="0"/>
                <w:sz w:val="21"/>
                <w:szCs w:val="21"/>
              </w:rPr>
              <w:t>珍稀物种和目标幼树清除株数达到其总株数5%-10%的扣</w:t>
            </w:r>
            <w:r>
              <w:rPr>
                <w:rFonts w:hint="eastAsia" w:ascii="宋体" w:hAnsi="宋体" w:cs="宋体"/>
                <w:spacing w:val="-11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pacing w:val="-11"/>
                <w:kern w:val="0"/>
                <w:sz w:val="21"/>
                <w:szCs w:val="21"/>
              </w:rPr>
              <w:t>分，达到10%以上的不得分。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影响目标幼树的灌草是否割除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人工林按灌草清除面积比例计算得分，天然林按割灌目标树的株数比例计算得分。未设计割灌除草的不扣分。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伐根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10厘米以上高度的伐根应低于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%,每超过1%扣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集材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幼苗幼树损伤率超过调查采伐面积中幼苗幼树总株数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%的不得分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</w:rPr>
              <w:t>抚育剩余物是否及时处理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pacing w:val="-11"/>
                <w:kern w:val="0"/>
                <w:sz w:val="21"/>
                <w:szCs w:val="21"/>
              </w:rPr>
              <w:t>倒木是否清除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抚育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剩余物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或倒木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清理符合要求的得满分，不符合要求的扣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分。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抚育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剩余物不清理，或未按</w:t>
            </w:r>
            <w:r>
              <w:rPr>
                <w:rFonts w:hint="eastAsia" w:ascii="宋体" w:hAnsi="宋体" w:cs="宋体"/>
                <w:spacing w:val="-11"/>
                <w:kern w:val="0"/>
                <w:sz w:val="21"/>
                <w:szCs w:val="21"/>
              </w:rPr>
              <w:t>森林病虫害防治、森林防火、环境保护等要求，分类采取堆积、平铺或运出等适当方式处理</w:t>
            </w:r>
            <w:r>
              <w:rPr>
                <w:rFonts w:hint="eastAsia" w:ascii="宋体" w:hAnsi="宋体" w:cs="宋体"/>
                <w:spacing w:val="-11"/>
                <w:kern w:val="0"/>
                <w:sz w:val="21"/>
                <w:szCs w:val="21"/>
                <w:lang w:eastAsia="zh-CN"/>
              </w:rPr>
              <w:t>的，</w:t>
            </w:r>
            <w:r>
              <w:rPr>
                <w:rFonts w:hint="eastAsia" w:ascii="宋体" w:hAnsi="宋体" w:cs="宋体"/>
                <w:spacing w:val="-11"/>
                <w:kern w:val="0"/>
                <w:sz w:val="21"/>
                <w:szCs w:val="21"/>
              </w:rPr>
              <w:t>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水土流失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抚育作业生活区建设时破坏的山体未回填扣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对可能发生冲刷的集材道未做处理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处理达不到要求扣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集材道出现冲刷不得分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因集材道路未设水流阻流带而出现车辙、冲沟深度超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厘米的扣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场地卫生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发生下列情况之一的扣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分：可分解的生活废弃物未深埋；难分解生活废弃物未运往垃圾处理场；抚育作业生活区的临时工棚未拆除彻底；建筑用材料未运出；抽查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7.5亩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采伐面积，人为弃物超过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件。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抚育作业丢弃材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15亩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丢弃材超过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0.1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立方米扣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exact"/>
          <w:jc w:val="center"/>
        </w:trPr>
        <w:tc>
          <w:tcPr>
            <w:tcW w:w="2292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装车场丢弃材</w:t>
            </w:r>
          </w:p>
        </w:tc>
        <w:tc>
          <w:tcPr>
            <w:tcW w:w="660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636" w:type="dxa"/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2530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outlineLvl w:val="9"/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  <w:t>装净得满分,否则不得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eastAsia="zh-CN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exact"/>
          <w:jc w:val="center"/>
        </w:trPr>
        <w:tc>
          <w:tcPr>
            <w:tcW w:w="2292" w:type="dxa"/>
            <w:vAlign w:val="top"/>
          </w:tcPr>
          <w:p>
            <w:pP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/>
                <w:vertAlign w:val="baseline"/>
                <w:lang w:eastAsia="zh-CN"/>
              </w:rPr>
              <w:t>合计</w:t>
            </w:r>
          </w:p>
        </w:tc>
        <w:tc>
          <w:tcPr>
            <w:tcW w:w="660" w:type="dxa"/>
            <w:vAlign w:val="top"/>
          </w:tcPr>
          <w:p>
            <w:pP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100</w:t>
            </w:r>
          </w:p>
        </w:tc>
        <w:tc>
          <w:tcPr>
            <w:tcW w:w="636" w:type="dxa"/>
            <w:vAlign w:val="top"/>
          </w:tcPr>
          <w:p>
            <w:pPr>
              <w:rPr>
                <w:rFonts w:hint="eastAsia" w:ascii="宋体" w:hAnsi="宋体" w:eastAsia="宋体" w:cs="宋体"/>
                <w:spacing w:val="-11"/>
                <w:sz w:val="21"/>
                <w:szCs w:val="21"/>
                <w:vertAlign w:val="baseline"/>
              </w:rPr>
            </w:pPr>
          </w:p>
        </w:tc>
        <w:tc>
          <w:tcPr>
            <w:tcW w:w="6985" w:type="dxa"/>
            <w:gridSpan w:val="3"/>
            <w:vAlign w:val="top"/>
          </w:tcPr>
          <w:p>
            <w:pPr>
              <w:rPr>
                <w:rFonts w:hint="eastAsia" w:ascii="宋体" w:hAnsi="宋体" w:eastAsia="宋体" w:cs="宋体"/>
                <w:spacing w:val="-1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以下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情况之一的为不合格小班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，总得分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val="en-US" w:eastAsia="zh-CN"/>
              </w:rPr>
              <w:t>0：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作业地点与作业设计不符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抚育方式与作业设计不符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抚育对象错误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无林木采伐许可证采伐作业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-11"/>
                <w:sz w:val="21"/>
                <w:szCs w:val="21"/>
                <w:lang w:val="en-US" w:eastAsia="zh-CN"/>
              </w:rPr>
              <w:t>越界采伐；伐除2株及以上目标树；无采伐验收合格证；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</w:rPr>
              <w:t>主要控制指标不符合</w:t>
            </w:r>
            <w:r>
              <w:rPr>
                <w:rFonts w:hint="eastAsia" w:ascii="宋体" w:hAnsi="宋体" w:eastAsia="宋体" w:cs="宋体"/>
                <w:spacing w:val="-11"/>
                <w:kern w:val="2"/>
                <w:sz w:val="21"/>
                <w:szCs w:val="21"/>
                <w:lang w:eastAsia="zh-CN"/>
              </w:rPr>
              <w:t>质量控制指标。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-1037" w:leftChars="-494" w:right="0" w:rightChars="0" w:firstLine="518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eastAsia="zh-CN"/>
        </w:rPr>
        <w:t>竣工验收人签名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</w:rPr>
        <w:t xml:space="preserve">：    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</w:rPr>
        <w:t xml:space="preserve">                    </w:t>
      </w:r>
      <w:r>
        <w:rPr>
          <w:rFonts w:hint="eastAsia" w:ascii="仿宋" w:hAnsi="仿宋" w:eastAsia="仿宋" w:cs="仿宋"/>
          <w:b/>
          <w:bCs/>
          <w:spacing w:val="-11"/>
          <w:sz w:val="28"/>
          <w:szCs w:val="28"/>
          <w:lang w:val="en-US" w:eastAsia="zh-CN"/>
        </w:rPr>
        <w:t xml:space="preserve">               年    月  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99E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2021-04-13T03:14:20Z</dcterms:created>
  <dc:creator>Administrator</dc:creator>
  <cp:lastModifiedBy>大路朝天</cp:lastModifiedBy>
  <dcterms:modified xsi:type="dcterms:W3CDTF">2021-04-13T03:33:59Z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57DB76000E4646D4BBF5F6955671A1CA</vt:lpwstr>
  </property>
</Properties>
</file>