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1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1"/>
          <w:sz w:val="44"/>
          <w:szCs w:val="44"/>
        </w:rPr>
        <w:t>卢氏县</w:t>
      </w:r>
      <w:r>
        <w:rPr>
          <w:rFonts w:hint="eastAsia" w:ascii="宋体" w:hAnsi="宋体" w:eastAsia="宋体" w:cs="宋体"/>
          <w:spacing w:val="1"/>
          <w:sz w:val="44"/>
          <w:szCs w:val="44"/>
          <w:lang w:eastAsia="zh-CN"/>
        </w:rPr>
        <w:t>人力资源和社会保障局</w:t>
      </w:r>
      <w:r>
        <w:rPr>
          <w:rFonts w:hint="eastAsia" w:ascii="宋体" w:hAnsi="宋体" w:eastAsia="宋体" w:cs="宋体"/>
          <w:spacing w:val="1"/>
          <w:sz w:val="44"/>
          <w:szCs w:val="44"/>
        </w:rPr>
        <w:t>202</w:t>
      </w:r>
      <w:r>
        <w:rPr>
          <w:rFonts w:hint="eastAsia" w:ascii="宋体" w:hAnsi="宋体" w:eastAsia="宋体" w:cs="宋体"/>
          <w:spacing w:val="1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spacing w:val="1"/>
          <w:sz w:val="44"/>
          <w:szCs w:val="44"/>
        </w:rPr>
        <w:t>年拟纳入项目库项目统计表</w:t>
      </w:r>
    </w:p>
    <w:p>
      <w:pPr>
        <w:spacing w:line="145" w:lineRule="exact"/>
        <w:jc w:val="center"/>
      </w:pPr>
    </w:p>
    <w:tbl>
      <w:tblPr>
        <w:tblStyle w:val="4"/>
        <w:tblW w:w="13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299"/>
        <w:gridCol w:w="998"/>
        <w:gridCol w:w="737"/>
        <w:gridCol w:w="1000"/>
        <w:gridCol w:w="1022"/>
        <w:gridCol w:w="898"/>
        <w:gridCol w:w="1432"/>
        <w:gridCol w:w="898"/>
        <w:gridCol w:w="997"/>
        <w:gridCol w:w="998"/>
        <w:gridCol w:w="998"/>
        <w:gridCol w:w="99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0" w:type="dxa"/>
            <w:vAlign w:val="top"/>
          </w:tcPr>
          <w:p>
            <w:pPr>
              <w:spacing w:before="159" w:line="188" w:lineRule="auto"/>
              <w:ind w:firstLine="1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299" w:type="dxa"/>
            <w:vAlign w:val="top"/>
          </w:tcPr>
          <w:p>
            <w:pPr>
              <w:spacing w:before="41" w:line="214" w:lineRule="auto"/>
              <w:ind w:left="467" w:right="222" w:hanging="240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项目</w:t>
            </w:r>
          </w:p>
          <w:p>
            <w:pPr>
              <w:spacing w:before="41" w:line="214" w:lineRule="auto"/>
              <w:ind w:left="467" w:right="222" w:hanging="2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名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8" w:type="dxa"/>
            <w:vAlign w:val="top"/>
          </w:tcPr>
          <w:p>
            <w:pPr>
              <w:spacing w:before="41"/>
              <w:ind w:firstLine="2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</w:p>
          <w:p>
            <w:pPr>
              <w:spacing w:line="204" w:lineRule="auto"/>
              <w:ind w:firstLine="2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类型</w:t>
            </w:r>
          </w:p>
        </w:tc>
        <w:tc>
          <w:tcPr>
            <w:tcW w:w="737" w:type="dxa"/>
            <w:vAlign w:val="top"/>
          </w:tcPr>
          <w:p>
            <w:pPr>
              <w:spacing w:before="41" w:line="214" w:lineRule="auto"/>
              <w:ind w:left="386" w:right="136" w:hanging="241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建设</w:t>
            </w:r>
          </w:p>
          <w:p>
            <w:pPr>
              <w:spacing w:before="41" w:line="214" w:lineRule="auto"/>
              <w:ind w:left="386" w:right="13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z w:val="24"/>
                <w:szCs w:val="24"/>
              </w:rPr>
              <w:t>质</w:t>
            </w:r>
          </w:p>
        </w:tc>
        <w:tc>
          <w:tcPr>
            <w:tcW w:w="1000" w:type="dxa"/>
            <w:vAlign w:val="top"/>
          </w:tcPr>
          <w:p>
            <w:pPr>
              <w:spacing w:before="41" w:line="214" w:lineRule="auto"/>
              <w:ind w:left="389" w:right="135" w:hanging="236"/>
              <w:rPr>
                <w:rFonts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实施</w:t>
            </w:r>
          </w:p>
          <w:p>
            <w:pPr>
              <w:spacing w:before="41" w:line="214" w:lineRule="auto"/>
              <w:ind w:left="389" w:right="135" w:hanging="2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</w:t>
            </w:r>
            <w:r>
              <w:rPr>
                <w:rFonts w:ascii="黑体" w:hAnsi="黑体" w:eastAsia="黑体" w:cs="黑体"/>
                <w:sz w:val="24"/>
                <w:szCs w:val="24"/>
              </w:rPr>
              <w:t>点</w:t>
            </w:r>
          </w:p>
        </w:tc>
        <w:tc>
          <w:tcPr>
            <w:tcW w:w="1022" w:type="dxa"/>
            <w:vAlign w:val="top"/>
          </w:tcPr>
          <w:p>
            <w:pPr>
              <w:spacing w:before="41"/>
              <w:ind w:firstLine="2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时间</w:t>
            </w:r>
          </w:p>
          <w:p>
            <w:pPr>
              <w:spacing w:line="204" w:lineRule="auto"/>
              <w:ind w:firstLine="2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进度</w:t>
            </w:r>
          </w:p>
        </w:tc>
        <w:tc>
          <w:tcPr>
            <w:tcW w:w="898" w:type="dxa"/>
            <w:vAlign w:val="top"/>
          </w:tcPr>
          <w:p>
            <w:pPr>
              <w:spacing w:before="41"/>
              <w:ind w:firstLine="2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责任</w:t>
            </w:r>
          </w:p>
          <w:p>
            <w:pPr>
              <w:spacing w:line="204" w:lineRule="auto"/>
              <w:ind w:firstLine="2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432" w:type="dxa"/>
            <w:vAlign w:val="top"/>
          </w:tcPr>
          <w:p>
            <w:pPr>
              <w:spacing w:before="41" w:line="214" w:lineRule="auto"/>
              <w:ind w:left="388" w:right="137" w:hanging="243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建设</w:t>
            </w:r>
          </w:p>
          <w:p>
            <w:pPr>
              <w:spacing w:before="41" w:line="214" w:lineRule="auto"/>
              <w:ind w:left="388" w:right="137" w:hanging="24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任</w:t>
            </w:r>
            <w:r>
              <w:rPr>
                <w:rFonts w:ascii="黑体" w:hAnsi="黑体" w:eastAsia="黑体" w:cs="黑体"/>
                <w:sz w:val="24"/>
                <w:szCs w:val="24"/>
              </w:rPr>
              <w:t>务</w:t>
            </w:r>
          </w:p>
        </w:tc>
        <w:tc>
          <w:tcPr>
            <w:tcW w:w="898" w:type="dxa"/>
            <w:vAlign w:val="top"/>
          </w:tcPr>
          <w:p>
            <w:pPr>
              <w:spacing w:before="41" w:line="214" w:lineRule="auto"/>
              <w:ind w:left="383" w:right="136" w:hanging="229"/>
              <w:rPr>
                <w:rFonts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资金</w:t>
            </w:r>
          </w:p>
          <w:p>
            <w:pPr>
              <w:spacing w:before="41" w:line="214" w:lineRule="auto"/>
              <w:ind w:left="383" w:right="136" w:hanging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规</w:t>
            </w:r>
            <w:r>
              <w:rPr>
                <w:rFonts w:ascii="黑体" w:hAnsi="黑体" w:eastAsia="黑体" w:cs="黑体"/>
                <w:sz w:val="24"/>
                <w:szCs w:val="24"/>
              </w:rPr>
              <w:t>模</w:t>
            </w:r>
          </w:p>
        </w:tc>
        <w:tc>
          <w:tcPr>
            <w:tcW w:w="997" w:type="dxa"/>
            <w:vAlign w:val="top"/>
          </w:tcPr>
          <w:p>
            <w:pPr>
              <w:spacing w:before="41" w:line="214" w:lineRule="auto"/>
              <w:ind w:left="144" w:right="135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资金筹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措方式</w:t>
            </w:r>
          </w:p>
        </w:tc>
        <w:tc>
          <w:tcPr>
            <w:tcW w:w="998" w:type="dxa"/>
            <w:vAlign w:val="top"/>
          </w:tcPr>
          <w:p>
            <w:pPr>
              <w:spacing w:before="41"/>
              <w:ind w:firstLine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受益</w:t>
            </w:r>
          </w:p>
          <w:p>
            <w:pPr>
              <w:spacing w:line="204" w:lineRule="auto"/>
              <w:ind w:firstLine="2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对象</w:t>
            </w:r>
          </w:p>
        </w:tc>
        <w:tc>
          <w:tcPr>
            <w:tcW w:w="998" w:type="dxa"/>
            <w:vAlign w:val="top"/>
          </w:tcPr>
          <w:p>
            <w:pPr>
              <w:spacing w:before="41" w:line="214" w:lineRule="auto"/>
              <w:ind w:left="382" w:right="134" w:hanging="234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绩效</w:t>
            </w:r>
          </w:p>
          <w:p>
            <w:pPr>
              <w:spacing w:before="41" w:line="214" w:lineRule="auto"/>
              <w:ind w:left="382" w:right="134" w:hanging="2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目</w:t>
            </w:r>
            <w:r>
              <w:rPr>
                <w:rFonts w:ascii="黑体" w:hAnsi="黑体" w:eastAsia="黑体" w:cs="黑体"/>
                <w:sz w:val="24"/>
                <w:szCs w:val="24"/>
              </w:rPr>
              <w:t>标</w:t>
            </w:r>
          </w:p>
        </w:tc>
        <w:tc>
          <w:tcPr>
            <w:tcW w:w="996" w:type="dxa"/>
            <w:vAlign w:val="top"/>
          </w:tcPr>
          <w:p>
            <w:pPr>
              <w:spacing w:before="41"/>
              <w:ind w:firstLine="2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群众</w:t>
            </w:r>
          </w:p>
          <w:p>
            <w:pPr>
              <w:spacing w:line="204" w:lineRule="auto"/>
              <w:ind w:firstLine="2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参与</w:t>
            </w:r>
          </w:p>
        </w:tc>
        <w:tc>
          <w:tcPr>
            <w:tcW w:w="1001" w:type="dxa"/>
            <w:vAlign w:val="top"/>
          </w:tcPr>
          <w:p>
            <w:pPr>
              <w:spacing w:before="41" w:line="214" w:lineRule="auto"/>
              <w:ind w:left="384" w:right="139" w:hanging="232"/>
              <w:rPr>
                <w:rFonts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帮扶</w:t>
            </w:r>
          </w:p>
          <w:p>
            <w:pPr>
              <w:spacing w:before="41" w:line="214" w:lineRule="auto"/>
              <w:ind w:left="384" w:right="139" w:hanging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机</w:t>
            </w:r>
            <w:r>
              <w:rPr>
                <w:rFonts w:ascii="黑体" w:hAnsi="黑体" w:eastAsia="黑体" w:cs="黑体"/>
                <w:sz w:val="24"/>
                <w:szCs w:val="24"/>
              </w:rPr>
              <w:t>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卢氏县公益性岗位项目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就业扶贫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新建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全县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2022年1月1日-2022年12月31日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卢氏县人力资源和社会保障局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全县设置乡村公益性岗位2481个，全年需给予贫困户、“三类户”发放乡村公益性岗位补贴1600万元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1600万元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财政统筹整合资金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全县乡村公益性岗位人员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提升农村基础服务水平，提高群众收入，巩固拓展脱贫成果，接续乡村振兴。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是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保障乡村公益性岗位人员稳定就业，防止返贫，推进乡村振兴。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卢氏县技能培训项目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就业扶贫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新建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全县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2022年1月1日-2022年12月31日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卢氏县人力资源和社会保障局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2022年预计培训10000余人，全年需发放技能培训补贴650万元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650万元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财政统筹整合资金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参加技能培训人员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通过开展技能培训，进一步提升农村劳动力技能水平，充分调动其就业创业积极性，提高就业质量，扩宽就业渠道，增加就业收入。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是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通过培训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提高就业质量，扩宽就业渠道，增加就业收入，</w:t>
            </w:r>
            <w:r>
              <w:rPr>
                <w:rFonts w:hint="eastAsia" w:ascii="Arial"/>
                <w:sz w:val="21"/>
              </w:rPr>
              <w:t>推进乡村振兴。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卢氏县就业一次性交通补助和劳务补助项目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就业扶贫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新建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全县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2022年1月1日-2022年12月31日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卢氏县人力资源和社会保障局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对全县脱贫户及“三类户”家庭劳动力就业情况给予一次性交通补助和劳务补助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1200万元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财政统筹整合资金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全县脱贫户和“三类户”</w:t>
            </w:r>
            <w:bookmarkStart w:id="0" w:name="_GoBack"/>
            <w:bookmarkEnd w:id="0"/>
            <w:r>
              <w:rPr>
                <w:rStyle w:val="5"/>
                <w:rFonts w:hint="eastAsia"/>
                <w:lang w:val="en-US" w:eastAsia="zh-CN" w:bidi="ar"/>
              </w:rPr>
              <w:t>家庭劳动力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激发脱贫户及监测户内生动力，调动其就业积极性，提高群众收入。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是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鼓励脱贫户和监测户家庭劳动力外出就业，提高就业质量和收入，巩固脱贫成效，接续乡村振兴。</w:t>
            </w:r>
          </w:p>
        </w:tc>
      </w:tr>
    </w:tbl>
    <w:p>
      <w:pPr>
        <w:spacing w:before="155" w:line="188" w:lineRule="auto"/>
        <w:ind w:firstLine="194"/>
        <w:rPr>
          <w:rFonts w:ascii="仿宋" w:hAnsi="仿宋" w:eastAsia="仿宋" w:cs="仿宋"/>
          <w:spacing w:val="-14"/>
          <w:sz w:val="32"/>
          <w:szCs w:val="32"/>
        </w:rPr>
      </w:pPr>
    </w:p>
    <w:p>
      <w:pPr>
        <w:spacing w:before="155" w:line="188" w:lineRule="auto"/>
        <w:ind w:firstLine="1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自公示之日起，10日内如有异议可与</w:t>
      </w:r>
      <w:r>
        <w:rPr>
          <w:rFonts w:ascii="宋体" w:hAnsi="宋体" w:eastAsia="宋体" w:cs="宋体"/>
          <w:spacing w:val="-14"/>
          <w:sz w:val="32"/>
          <w:szCs w:val="32"/>
        </w:rPr>
        <w:t>相关部门</w:t>
      </w:r>
      <w:r>
        <w:rPr>
          <w:rFonts w:ascii="仿宋" w:hAnsi="仿宋" w:eastAsia="仿宋" w:cs="仿宋"/>
          <w:spacing w:val="-14"/>
          <w:sz w:val="32"/>
          <w:szCs w:val="32"/>
        </w:rPr>
        <w:t>联系。</w:t>
      </w:r>
    </w:p>
    <w:p>
      <w:pPr>
        <w:spacing w:before="319" w:line="188" w:lineRule="auto"/>
        <w:ind w:firstLine="1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监督电话：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县财政局：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0398-7862268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5"/>
          <w:sz w:val="32"/>
          <w:szCs w:val="32"/>
        </w:rPr>
        <w:t>县乡村振兴局：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0398-7872658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5"/>
          <w:sz w:val="32"/>
          <w:szCs w:val="32"/>
        </w:rPr>
        <w:t>监督举报电话:12317</w:t>
      </w:r>
    </w:p>
    <w:p>
      <w:pPr>
        <w:spacing w:before="57" w:line="560" w:lineRule="exact"/>
        <w:ind w:firstLine="1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position w:val="5"/>
          <w:sz w:val="32"/>
          <w:szCs w:val="32"/>
        </w:rPr>
        <w:t>电子邮箱：</w:t>
      </w:r>
      <w:r>
        <w:rPr>
          <w:rFonts w:hint="eastAsia" w:ascii="仿宋" w:hAnsi="仿宋" w:eastAsia="仿宋" w:cs="仿宋"/>
          <w:spacing w:val="-10"/>
          <w:position w:val="5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0"/>
          <w:position w:val="5"/>
          <w:sz w:val="32"/>
          <w:szCs w:val="32"/>
        </w:rPr>
        <w:t>县乡村振兴局</w:t>
      </w:r>
      <w:r>
        <w:rPr>
          <w:rFonts w:ascii="仿宋" w:hAnsi="仿宋" w:eastAsia="仿宋" w:cs="仿宋"/>
          <w:spacing w:val="-48"/>
          <w:position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position w:val="5"/>
          <w:sz w:val="32"/>
          <w:szCs w:val="32"/>
          <w:u w:val="none"/>
        </w:rPr>
        <w:t>lsxfpzjgggs@163.com</w:t>
      </w:r>
      <w:r>
        <w:rPr>
          <w:rFonts w:ascii="仿宋" w:hAnsi="仿宋" w:eastAsia="仿宋" w:cs="仿宋"/>
          <w:spacing w:val="3"/>
          <w:position w:val="5"/>
          <w:sz w:val="32"/>
          <w:szCs w:val="32"/>
        </w:rPr>
        <w:t xml:space="preserve">       </w:t>
      </w:r>
      <w:r>
        <w:rPr>
          <w:rFonts w:ascii="仿宋" w:hAnsi="仿宋" w:eastAsia="仿宋" w:cs="仿宋"/>
          <w:spacing w:val="-10"/>
          <w:position w:val="5"/>
          <w:sz w:val="32"/>
          <w:szCs w:val="32"/>
        </w:rPr>
        <w:t>县财政局：</w:t>
      </w:r>
      <w:r>
        <w:rPr>
          <w:rFonts w:ascii="仿宋" w:hAnsi="仿宋" w:eastAsia="仿宋" w:cs="仿宋"/>
          <w:spacing w:val="54"/>
          <w:position w:val="5"/>
          <w:sz w:val="32"/>
          <w:szCs w:val="32"/>
        </w:rPr>
        <w:t xml:space="preserve"> </w:t>
      </w:r>
      <w:r>
        <w:fldChar w:fldCharType="begin"/>
      </w:r>
      <w:r>
        <w:instrText xml:space="preserve"> HYPERLINK "mailto:lsxczjnyg2268@163.com" </w:instrText>
      </w:r>
      <w:r>
        <w:fldChar w:fldCharType="separate"/>
      </w:r>
      <w:r>
        <w:rPr>
          <w:rFonts w:ascii="仿宋" w:hAnsi="仿宋" w:eastAsia="仿宋" w:cs="仿宋"/>
          <w:spacing w:val="-10"/>
          <w:position w:val="5"/>
          <w:sz w:val="32"/>
          <w:szCs w:val="32"/>
        </w:rPr>
        <w:t>lsxczjnyg2268@163.com</w:t>
      </w:r>
      <w:r>
        <w:rPr>
          <w:rFonts w:ascii="仿宋" w:hAnsi="仿宋" w:eastAsia="仿宋" w:cs="仿宋"/>
          <w:spacing w:val="-10"/>
          <w:position w:val="5"/>
          <w:sz w:val="32"/>
          <w:szCs w:val="32"/>
        </w:rPr>
        <w:fldChar w:fldCharType="end"/>
      </w:r>
    </w:p>
    <w:p>
      <w:pPr>
        <w:spacing w:before="174" w:line="188" w:lineRule="auto"/>
        <w:ind w:firstLine="1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通讯地址：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县乡村振兴局：</w:t>
      </w:r>
      <w:r>
        <w:rPr>
          <w:rFonts w:ascii="仿宋" w:hAnsi="仿宋" w:eastAsia="仿宋" w:cs="仿宋"/>
          <w:spacing w:val="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卢氏县城关镇中兴路南段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0"/>
          <w:sz w:val="32"/>
          <w:szCs w:val="32"/>
        </w:rPr>
        <w:t>县财政局：</w:t>
      </w:r>
      <w:r>
        <w:rPr>
          <w:rFonts w:ascii="仿宋" w:hAnsi="仿宋" w:eastAsia="仿宋" w:cs="仿宋"/>
          <w:spacing w:val="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卢氏县城关镇解放路东段</w:t>
      </w:r>
    </w:p>
    <w:p>
      <w:pPr>
        <w:sectPr>
          <w:footerReference r:id="rId5" w:type="default"/>
          <w:pgSz w:w="16839" w:h="11906"/>
          <w:pgMar w:top="1012" w:right="1100" w:bottom="400" w:left="1758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76F38"/>
    <w:rsid w:val="38AC2AD5"/>
    <w:rsid w:val="51297273"/>
    <w:rsid w:val="61D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2021-12-21T09:02:00Z</dcterms:created>
  <dc:creator>Administrator</dc:creator>
  <cp:lastModifiedBy>Lenovo</cp:lastModifiedBy>
  <dcterms:modified xsi:type="dcterms:W3CDTF">2022-02-14T07:37:08Z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B48263552A8C4C41B79942DDF88145CB</vt:lpwstr>
  </property>
</Properties>
</file>