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卢氏县202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年地方政府举借债务情况</w:t>
      </w:r>
    </w:p>
    <w:p>
      <w:pPr>
        <w:numPr>
          <w:ilvl w:val="0"/>
          <w:numId w:val="0"/>
        </w:numPr>
        <w:ind w:firstLine="640" w:firstLineChars="0"/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我县政府债务限额及余额情况</w:t>
      </w:r>
    </w:p>
    <w:p>
      <w:pPr>
        <w:ind w:firstLine="640" w:firstLineChars="200"/>
        <w:rPr>
          <w:rFonts w:ascii="仿宋" w:hAnsi="仿宋" w:eastAsia="仿宋" w:cs="宋体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eastAsia="zh-CN"/>
        </w:rPr>
        <w:t>截止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年末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eastAsia="zh-CN"/>
        </w:rPr>
        <w:t>，我县地方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政府债务限额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/>
        </w:rPr>
        <w:t>345229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万元（一般债务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108029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万元</w:t>
      </w:r>
      <w:bookmarkStart w:id="0" w:name="_GoBack"/>
      <w:bookmarkEnd w:id="0"/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，专项债务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237200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 w:cs="宋体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汇总统计系统内政府债务余额，截止20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eastAsia="zh-CN"/>
        </w:rPr>
        <w:t>末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，全县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eastAsia="zh-CN"/>
        </w:rPr>
        <w:t>地方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政府债务余额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/>
        </w:rPr>
        <w:t>332253.93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万元，其中政府负有偿还责任的债务余额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/>
        </w:rPr>
        <w:t>331845.35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万元（一般债务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100196.35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万元，专项债务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/>
        </w:rPr>
        <w:t>231649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万元），担保、救助等或有债务余额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/>
        </w:rPr>
        <w:t>408.58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万元。</w:t>
      </w:r>
    </w:p>
    <w:p>
      <w:pPr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2021年政府债券发行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情况</w:t>
      </w:r>
    </w:p>
    <w:p>
      <w:pPr>
        <w:ind w:firstLine="643" w:firstLineChars="200"/>
        <w:rPr>
          <w:rFonts w:hint="eastAsia" w:ascii="仿宋" w:hAnsi="仿宋" w:eastAsia="仿宋" w:cs="宋体"/>
          <w:color w:val="222222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/>
          <w:bCs/>
          <w:color w:val="222222"/>
          <w:kern w:val="0"/>
          <w:sz w:val="32"/>
          <w:szCs w:val="32"/>
          <w:lang w:eastAsia="zh-CN"/>
        </w:rPr>
        <w:t>1、2021年新增一般债券安排额度8700万元，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eastAsia="zh-CN"/>
        </w:rPr>
        <w:t>安排如下: 卢氏县清惠路建设工程630万元，卢氏县靖华东路续建工程570万元，卢氏县解放路建设工程1300万元，卢氏县洛河南岸基础设施建设项目2400万元，卢氏县百城提质土地综合开发城区电力电缆沟建设工程680万元，三淅高速卢氏互通连接线(S326)改建工程3120万元。</w:t>
      </w:r>
    </w:p>
    <w:p>
      <w:pPr>
        <w:widowControl/>
        <w:numPr>
          <w:ilvl w:val="0"/>
          <w:numId w:val="0"/>
        </w:numPr>
        <w:tabs>
          <w:tab w:val="left" w:pos="0"/>
        </w:tabs>
        <w:adjustRightInd w:val="0"/>
        <w:snapToGrid w:val="0"/>
        <w:spacing w:line="600" w:lineRule="exact"/>
        <w:ind w:right="252" w:rightChars="120" w:firstLine="643" w:firstLineChars="200"/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222222"/>
          <w:kern w:val="0"/>
          <w:sz w:val="32"/>
          <w:szCs w:val="32"/>
          <w:lang w:eastAsia="zh-CN"/>
        </w:rPr>
        <w:t>2、2021年新增专项债券安排额度</w:t>
      </w:r>
      <w:r>
        <w:rPr>
          <w:rFonts w:hint="eastAsia" w:ascii="仿宋" w:hAnsi="仿宋" w:eastAsia="仿宋" w:cs="宋体"/>
          <w:b/>
          <w:bCs/>
          <w:color w:val="222222"/>
          <w:kern w:val="0"/>
          <w:sz w:val="32"/>
          <w:szCs w:val="32"/>
          <w:lang w:val="en-US" w:eastAsia="zh-CN"/>
        </w:rPr>
        <w:t>51400</w:t>
      </w:r>
      <w:r>
        <w:rPr>
          <w:rFonts w:hint="eastAsia" w:ascii="仿宋" w:hAnsi="仿宋" w:eastAsia="仿宋" w:cs="宋体"/>
          <w:b/>
          <w:bCs/>
          <w:color w:val="222222"/>
          <w:kern w:val="0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eastAsia="zh-CN"/>
        </w:rPr>
        <w:t>安排如下: 2019年度卢氏县生态廊道项目5800万元，卢氏县第二生活垃圾处理厂项目5500万元,卢氏县建筑垃圾处理再生利用中心5000万元，卢氏县城污水管网工程700万元，卢氏县城供水管网工程1500万元，卢氏县中医院县二院合并搬迁新建项目7000万元, 卢氏县火车站站前广场和衙前村营子村棚户区改造项目10000万元，卢氏县横涧乡营子村棚户区改造项目5500万元，卢氏县产业集聚区高新技术标准化厂房及配套基础设施建设项目3400万元，卢氏县兴贤经济带项目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/>
        </w:rPr>
        <w:t>2000万元，卢氏县人民医院医技综合楼建设项目2000万元，卢氏县妇幼保健院异地新建项目3000万元。</w:t>
      </w:r>
    </w:p>
    <w:p>
      <w:pPr>
        <w:ind w:firstLine="643" w:firstLineChars="200"/>
        <w:rPr>
          <w:rFonts w:hint="default" w:ascii="仿宋" w:hAnsi="仿宋" w:eastAsia="仿宋" w:cs="宋体"/>
          <w:b/>
          <w:bCs/>
          <w:color w:val="222222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222222"/>
          <w:kern w:val="0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b/>
          <w:bCs/>
          <w:color w:val="222222"/>
          <w:kern w:val="0"/>
          <w:sz w:val="32"/>
          <w:szCs w:val="32"/>
          <w:lang w:eastAsia="zh-CN"/>
        </w:rPr>
        <w:t>发行再融资一般债券</w:t>
      </w:r>
      <w:r>
        <w:rPr>
          <w:rFonts w:hint="eastAsia" w:ascii="仿宋" w:hAnsi="仿宋" w:eastAsia="仿宋" w:cs="宋体"/>
          <w:b/>
          <w:bCs/>
          <w:color w:val="222222"/>
          <w:kern w:val="0"/>
          <w:sz w:val="32"/>
          <w:szCs w:val="32"/>
          <w:lang w:val="en-US" w:eastAsia="zh-CN"/>
        </w:rPr>
        <w:t>11300</w:t>
      </w:r>
      <w:r>
        <w:rPr>
          <w:rFonts w:hint="eastAsia" w:ascii="仿宋" w:hAnsi="仿宋" w:eastAsia="仿宋" w:cs="宋体"/>
          <w:b/>
          <w:bCs/>
          <w:color w:val="222222"/>
          <w:kern w:val="0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222222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2021年还本付息情况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222222"/>
          <w:kern w:val="0"/>
          <w:sz w:val="32"/>
          <w:szCs w:val="32"/>
          <w:lang w:val="en-US" w:eastAsia="zh-CN" w:bidi="ar-SA"/>
        </w:rPr>
        <w:t>2021年，我县地方政府债务还本付息23475.62万元，其中：一般债券本金11422万元，利息3321万元；专项债券本金2000万元，利息6732.62万元。</w:t>
      </w:r>
    </w:p>
    <w:p>
      <w:pPr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>
      <w:pPr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>
      <w:pPr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>
      <w:pPr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>
      <w:pPr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>
      <w:pPr>
        <w:jc w:val="both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>
      <w:pPr>
        <w:rPr>
          <w:rFonts w:eastAsia="仿宋"/>
          <w:color w:val="000000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6pebnPAAAABQEAAA8AAAAAAAAAAQAgAAAAIgAAAGRycy9kb3du&#10;cmV2LnhtbFBLAQIUABQAAAAIAIdO4kDZoPcHzwEAAKoDAAAOAAAAAAAAAAEAIAAAAB4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0MzY5NWM4YTA0MTAyNDM1MzZhYjI3OTQ0ZDMyYjQifQ=="/>
  </w:docVars>
  <w:rsids>
    <w:rsidRoot w:val="00A97684"/>
    <w:rsid w:val="00032207"/>
    <w:rsid w:val="00064C32"/>
    <w:rsid w:val="00106807"/>
    <w:rsid w:val="0016771A"/>
    <w:rsid w:val="00192686"/>
    <w:rsid w:val="001C2BA9"/>
    <w:rsid w:val="002355A4"/>
    <w:rsid w:val="00297335"/>
    <w:rsid w:val="002A1415"/>
    <w:rsid w:val="002B6FDC"/>
    <w:rsid w:val="00394302"/>
    <w:rsid w:val="0043037A"/>
    <w:rsid w:val="00462C44"/>
    <w:rsid w:val="004A71FE"/>
    <w:rsid w:val="004B2E27"/>
    <w:rsid w:val="004E1667"/>
    <w:rsid w:val="005C5F2E"/>
    <w:rsid w:val="006E6A8D"/>
    <w:rsid w:val="009D78F4"/>
    <w:rsid w:val="009F5448"/>
    <w:rsid w:val="00A4598C"/>
    <w:rsid w:val="00A97684"/>
    <w:rsid w:val="00AF2CB1"/>
    <w:rsid w:val="00B10E4E"/>
    <w:rsid w:val="00B25CCF"/>
    <w:rsid w:val="00B37218"/>
    <w:rsid w:val="00B46B9C"/>
    <w:rsid w:val="00B544F9"/>
    <w:rsid w:val="00BE7AAD"/>
    <w:rsid w:val="00C33512"/>
    <w:rsid w:val="00C459D4"/>
    <w:rsid w:val="00D8256E"/>
    <w:rsid w:val="00DD1ACA"/>
    <w:rsid w:val="00E061EB"/>
    <w:rsid w:val="00E84461"/>
    <w:rsid w:val="00F25EA5"/>
    <w:rsid w:val="00F64D0A"/>
    <w:rsid w:val="00F92FFE"/>
    <w:rsid w:val="04D9534B"/>
    <w:rsid w:val="06A619CF"/>
    <w:rsid w:val="074524D0"/>
    <w:rsid w:val="07B50970"/>
    <w:rsid w:val="09E43023"/>
    <w:rsid w:val="0DF71D33"/>
    <w:rsid w:val="0E0B1650"/>
    <w:rsid w:val="0F411F28"/>
    <w:rsid w:val="1222257F"/>
    <w:rsid w:val="14A63EC9"/>
    <w:rsid w:val="15E46C01"/>
    <w:rsid w:val="15EF12C1"/>
    <w:rsid w:val="1B4E4FDC"/>
    <w:rsid w:val="1D2642A2"/>
    <w:rsid w:val="234C3151"/>
    <w:rsid w:val="23654C7E"/>
    <w:rsid w:val="24B25C42"/>
    <w:rsid w:val="250177C2"/>
    <w:rsid w:val="25253F21"/>
    <w:rsid w:val="272B3A29"/>
    <w:rsid w:val="27E47311"/>
    <w:rsid w:val="2ADE7CE0"/>
    <w:rsid w:val="2BF130D5"/>
    <w:rsid w:val="2E1F420B"/>
    <w:rsid w:val="2F2C1DD0"/>
    <w:rsid w:val="30855C02"/>
    <w:rsid w:val="32C76507"/>
    <w:rsid w:val="340369FD"/>
    <w:rsid w:val="3756532C"/>
    <w:rsid w:val="37C417AA"/>
    <w:rsid w:val="38374BA8"/>
    <w:rsid w:val="38D54211"/>
    <w:rsid w:val="38E80F7C"/>
    <w:rsid w:val="39A65B04"/>
    <w:rsid w:val="3B2A7D93"/>
    <w:rsid w:val="3B5D5E31"/>
    <w:rsid w:val="3C4F29C4"/>
    <w:rsid w:val="3D1838D2"/>
    <w:rsid w:val="3D476DB0"/>
    <w:rsid w:val="3DE92B4E"/>
    <w:rsid w:val="3E681233"/>
    <w:rsid w:val="40985910"/>
    <w:rsid w:val="426C0A3B"/>
    <w:rsid w:val="431B6AB0"/>
    <w:rsid w:val="44371A9C"/>
    <w:rsid w:val="46186246"/>
    <w:rsid w:val="47254C34"/>
    <w:rsid w:val="475C17B8"/>
    <w:rsid w:val="480075C1"/>
    <w:rsid w:val="49814206"/>
    <w:rsid w:val="49C43254"/>
    <w:rsid w:val="4AFB2A92"/>
    <w:rsid w:val="4B9E6E05"/>
    <w:rsid w:val="4C3D7BC4"/>
    <w:rsid w:val="4E3D7CEC"/>
    <w:rsid w:val="51D435BC"/>
    <w:rsid w:val="51EE1D12"/>
    <w:rsid w:val="52F22E94"/>
    <w:rsid w:val="54871051"/>
    <w:rsid w:val="5683360A"/>
    <w:rsid w:val="575A3840"/>
    <w:rsid w:val="585139E8"/>
    <w:rsid w:val="58DA5565"/>
    <w:rsid w:val="5CC10360"/>
    <w:rsid w:val="5E5A05B8"/>
    <w:rsid w:val="5F074256"/>
    <w:rsid w:val="5F63153A"/>
    <w:rsid w:val="604C1E5B"/>
    <w:rsid w:val="61B62807"/>
    <w:rsid w:val="667F621E"/>
    <w:rsid w:val="670673B6"/>
    <w:rsid w:val="677F39B2"/>
    <w:rsid w:val="67CF2F31"/>
    <w:rsid w:val="691F4BF4"/>
    <w:rsid w:val="693A064F"/>
    <w:rsid w:val="696F1BA2"/>
    <w:rsid w:val="69BA29A4"/>
    <w:rsid w:val="6B1C63C9"/>
    <w:rsid w:val="6B3817AE"/>
    <w:rsid w:val="6B421573"/>
    <w:rsid w:val="6DE50483"/>
    <w:rsid w:val="6DEC7EDA"/>
    <w:rsid w:val="6E6E7B02"/>
    <w:rsid w:val="6EAD0C5E"/>
    <w:rsid w:val="6FA54026"/>
    <w:rsid w:val="715240A9"/>
    <w:rsid w:val="727F1882"/>
    <w:rsid w:val="74233C53"/>
    <w:rsid w:val="753D498D"/>
    <w:rsid w:val="767A1BA6"/>
    <w:rsid w:val="772F6BEF"/>
    <w:rsid w:val="7B9E3D75"/>
    <w:rsid w:val="7BDF45C5"/>
    <w:rsid w:val="7FE9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420" w:leftChars="200"/>
    </w:pPr>
    <w:rPr>
      <w:rFonts w:hAnsi="Times New Roman" w:eastAsia="宋体"/>
    </w:rPr>
  </w:style>
  <w:style w:type="paragraph" w:styleId="4">
    <w:name w:val="Normal Indent"/>
    <w:basedOn w:val="1"/>
    <w:next w:val="1"/>
    <w:qFormat/>
    <w:uiPriority w:val="99"/>
    <w:pPr>
      <w:adjustRightInd w:val="0"/>
      <w:snapToGrid w:val="0"/>
      <w:ind w:firstLine="420"/>
    </w:pPr>
    <w:rPr>
      <w:rFonts w:ascii="宋体" w:cs="宋体"/>
    </w:rPr>
  </w:style>
  <w:style w:type="paragraph" w:styleId="5">
    <w:name w:val="Body Text First Indent"/>
    <w:basedOn w:val="6"/>
    <w:next w:val="2"/>
    <w:unhideWhenUsed/>
    <w:qFormat/>
    <w:uiPriority w:val="99"/>
    <w:pPr>
      <w:ind w:firstLine="420" w:firstLineChars="100"/>
    </w:pPr>
  </w:style>
  <w:style w:type="paragraph" w:styleId="6">
    <w:name w:val="Body Text"/>
    <w:basedOn w:val="1"/>
    <w:next w:val="7"/>
    <w:qFormat/>
    <w:uiPriority w:val="0"/>
    <w:pPr>
      <w:spacing w:after="120"/>
    </w:pPr>
  </w:style>
  <w:style w:type="paragraph" w:styleId="7">
    <w:name w:val="Body Text 2"/>
    <w:basedOn w:val="1"/>
    <w:next w:val="6"/>
    <w:qFormat/>
    <w:uiPriority w:val="0"/>
    <w:pPr>
      <w:spacing w:after="120" w:line="480" w:lineRule="auto"/>
    </w:pPr>
  </w:style>
  <w:style w:type="paragraph" w:styleId="8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2">
    <w:name w:val="页眉 Char"/>
    <w:basedOn w:val="11"/>
    <w:link w:val="9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8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631</Words>
  <Characters>794</Characters>
  <Lines>5</Lines>
  <Paragraphs>1</Paragraphs>
  <TotalTime>15</TotalTime>
  <ScaleCrop>false</ScaleCrop>
  <LinksUpToDate>false</LinksUpToDate>
  <CharactersWithSpaces>798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2017-07-26T07:17:00Z</dcterms:created>
  <dc:creator>Windows</dc:creator>
  <cp:lastModifiedBy>dandan</cp:lastModifiedBy>
  <cp:lastPrinted>2018-03-17T02:59:00Z</cp:lastPrinted>
  <dcterms:modified xsi:type="dcterms:W3CDTF">2023-09-15T01:48:53Z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CC3E917B18B84165988829897E24DF7C</vt:lpwstr>
  </property>
</Properties>
</file>