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hint="eastAsia" w:ascii="方正小标宋简体" w:hAnsi="仿宋" w:eastAsia="方正小标宋简体"/>
          <w:color w:val="auto"/>
          <w:sz w:val="44"/>
          <w:szCs w:val="44"/>
          <w:lang w:eastAsia="zh-CN"/>
        </w:rPr>
      </w:pPr>
      <w:bookmarkStart w:id="1" w:name="_GoBack"/>
      <w:bookmarkStart w:id="0" w:name="zhengwen"/>
      <w:r>
        <w:rPr>
          <w:rFonts w:hint="eastAsia" w:ascii="方正小标宋简体" w:hAnsi="仿宋" w:eastAsia="方正小标宋简体"/>
          <w:color w:val="auto"/>
          <w:sz w:val="44"/>
          <w:szCs w:val="44"/>
          <w:lang w:val="en-US" w:eastAsia="zh-CN"/>
        </w:rPr>
        <w:t>卢氏县</w:t>
      </w:r>
      <w:r>
        <w:rPr>
          <w:rFonts w:hint="eastAsia" w:ascii="方正小标宋简体" w:hAnsi="仿宋" w:eastAsia="方正小标宋简体"/>
          <w:color w:val="auto"/>
          <w:sz w:val="44"/>
          <w:szCs w:val="44"/>
        </w:rPr>
        <w:t>烟草制品零售点合理布局规划</w:t>
      </w:r>
      <w:r>
        <w:rPr>
          <w:rFonts w:hint="eastAsia" w:ascii="方正小标宋简体" w:hAnsi="仿宋" w:eastAsia="方正小标宋简体"/>
          <w:color w:val="auto"/>
          <w:sz w:val="44"/>
          <w:szCs w:val="44"/>
          <w:lang w:eastAsia="zh-CN"/>
        </w:rPr>
        <w:t>（</w:t>
      </w:r>
      <w:r>
        <w:rPr>
          <w:rFonts w:hint="eastAsia" w:ascii="方正小标宋简体" w:hAnsi="仿宋" w:eastAsia="方正小标宋简体"/>
          <w:color w:val="auto"/>
          <w:sz w:val="44"/>
          <w:szCs w:val="44"/>
          <w:lang w:val="en-US" w:eastAsia="zh-CN"/>
        </w:rPr>
        <w:t>征求意见稿</w:t>
      </w:r>
      <w:r>
        <w:rPr>
          <w:rFonts w:hint="eastAsia" w:ascii="方正小标宋简体" w:hAnsi="仿宋" w:eastAsia="方正小标宋简体"/>
          <w:color w:val="auto"/>
          <w:sz w:val="44"/>
          <w:szCs w:val="44"/>
          <w:lang w:eastAsia="zh-CN"/>
        </w:rPr>
        <w:t>）</w:t>
      </w:r>
    </w:p>
    <w:bookmarkEnd w:id="1"/>
    <w:p>
      <w:pPr>
        <w:widowControl/>
        <w:spacing w:line="576" w:lineRule="exact"/>
        <w:ind w:firstLine="640" w:firstLineChars="200"/>
        <w:rPr>
          <w:rFonts w:ascii="仿宋" w:hAnsi="仿宋" w:eastAsia="仿宋" w:cs="仿宋"/>
          <w:color w:val="auto"/>
          <w:kern w:val="0"/>
          <w:sz w:val="32"/>
          <w:szCs w:val="32"/>
          <w:shd w:val="clear" w:color="auto" w:fill="FFFFFF"/>
        </w:rPr>
      </w:pPr>
    </w:p>
    <w:p>
      <w:pPr>
        <w:spacing w:line="576" w:lineRule="exact"/>
        <w:jc w:val="center"/>
        <w:rPr>
          <w:rFonts w:ascii="仿宋_GB2312" w:hAnsi="仿宋" w:eastAsia="仿宋_GB2312" w:cs="楷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第一章  总  则</w:t>
      </w:r>
    </w:p>
    <w:p>
      <w:pPr>
        <w:spacing w:line="576" w:lineRule="exact"/>
        <w:ind w:firstLine="640" w:firstLineChars="200"/>
        <w:jc w:val="left"/>
        <w:rPr>
          <w:rFonts w:ascii="仿宋" w:hAnsi="仿宋" w:eastAsia="仿宋" w:cs="仿宋"/>
          <w:color w:val="auto"/>
          <w:sz w:val="32"/>
          <w:szCs w:val="32"/>
        </w:rPr>
      </w:pPr>
      <w:r>
        <w:rPr>
          <w:rFonts w:hint="eastAsia" w:ascii="楷体" w:hAnsi="楷体" w:eastAsia="楷体" w:cs="黑体"/>
          <w:bCs/>
          <w:color w:val="auto"/>
          <w:kern w:val="0"/>
          <w:sz w:val="32"/>
          <w:szCs w:val="32"/>
          <w:shd w:val="clear" w:color="auto" w:fill="FFFFFF"/>
        </w:rPr>
        <w:t>第一条</w:t>
      </w:r>
      <w:r>
        <w:rPr>
          <w:rFonts w:ascii="仿宋" w:hAnsi="仿宋" w:eastAsia="仿宋" w:cs="黑体"/>
          <w:bCs/>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为规范烟草制品零售市场经营秩序，维护国家利益、消费者利益和消费者的合法权益，加强烟草专卖零售许可证的管理，促进烟草市场健康发展，保护未成年人权益，根据《中华人民共和国烟草专卖法》《中华人民共和国行政许可法》《中华人民共和国未成年人保护法》《中华人民共和国烟草专卖法实施条例》《烟草专卖许可证管理办法》《烟草专卖许可证管理办法实施细则》等法律、法规、规章和规范性文件的规定，结合本辖区实际，制订本规划。</w:t>
      </w:r>
    </w:p>
    <w:p>
      <w:pPr>
        <w:pStyle w:val="2"/>
        <w:spacing w:after="0" w:line="576" w:lineRule="exact"/>
        <w:ind w:firstLine="640" w:firstLineChars="200"/>
        <w:jc w:val="left"/>
        <w:rPr>
          <w:rFonts w:ascii="仿宋" w:hAnsi="仿宋" w:eastAsia="仿宋" w:cs="仿宋"/>
          <w:color w:val="auto"/>
          <w:kern w:val="0"/>
          <w:sz w:val="32"/>
          <w:szCs w:val="32"/>
          <w:shd w:val="clear" w:color="auto" w:fill="FFFFFF"/>
        </w:rPr>
      </w:pPr>
      <w:r>
        <w:rPr>
          <w:rFonts w:hint="eastAsia" w:ascii="楷体" w:hAnsi="楷体" w:eastAsia="楷体" w:cs="黑体"/>
          <w:bCs/>
          <w:color w:val="auto"/>
          <w:kern w:val="0"/>
          <w:sz w:val="32"/>
          <w:szCs w:val="32"/>
          <w:shd w:val="clear" w:color="auto" w:fill="FFFFFF"/>
        </w:rPr>
        <w:t>第二条</w:t>
      </w:r>
      <w:r>
        <w:rPr>
          <w:rFonts w:ascii="仿宋" w:hAnsi="仿宋" w:eastAsia="仿宋" w:cs="黑体"/>
          <w:bCs/>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本规划适用于</w:t>
      </w:r>
      <w:r>
        <w:rPr>
          <w:rFonts w:hint="eastAsia" w:ascii="仿宋" w:hAnsi="仿宋" w:eastAsia="仿宋" w:cs="仿宋"/>
          <w:color w:val="auto"/>
          <w:kern w:val="0"/>
          <w:sz w:val="32"/>
          <w:szCs w:val="32"/>
          <w:shd w:val="clear" w:color="auto" w:fill="FFFFFF"/>
          <w:lang w:val="en-US" w:eastAsia="zh-CN"/>
        </w:rPr>
        <w:t>卢氏县</w:t>
      </w:r>
      <w:r>
        <w:rPr>
          <w:rFonts w:hint="eastAsia" w:ascii="仿宋" w:hAnsi="仿宋" w:eastAsia="仿宋" w:cs="仿宋"/>
          <w:color w:val="auto"/>
          <w:kern w:val="0"/>
          <w:sz w:val="32"/>
          <w:szCs w:val="32"/>
          <w:shd w:val="clear" w:color="auto" w:fill="FFFFFF"/>
        </w:rPr>
        <w:t>行政区域范围内烟草制品零售点的设置与管理。</w:t>
      </w:r>
    </w:p>
    <w:p>
      <w:pPr>
        <w:spacing w:line="576" w:lineRule="exact"/>
        <w:ind w:firstLine="640" w:firstLineChars="200"/>
        <w:jc w:val="left"/>
        <w:rPr>
          <w:rFonts w:ascii="仿宋" w:hAnsi="仿宋" w:eastAsia="仿宋" w:cs="仿宋"/>
          <w:color w:val="auto"/>
          <w:kern w:val="0"/>
          <w:sz w:val="32"/>
          <w:szCs w:val="32"/>
          <w:shd w:val="clear" w:color="auto" w:fill="FFFFFF"/>
        </w:rPr>
      </w:pPr>
      <w:r>
        <w:rPr>
          <w:rFonts w:hint="eastAsia" w:ascii="楷体" w:hAnsi="楷体" w:eastAsia="楷体" w:cs="黑体"/>
          <w:bCs/>
          <w:color w:val="auto"/>
          <w:kern w:val="0"/>
          <w:sz w:val="32"/>
          <w:szCs w:val="32"/>
          <w:shd w:val="clear" w:color="auto" w:fill="FFFFFF"/>
        </w:rPr>
        <w:t>第三条</w:t>
      </w:r>
      <w:r>
        <w:rPr>
          <w:rFonts w:ascii="仿宋" w:hAnsi="仿宋" w:eastAsia="仿宋" w:cs="仿宋"/>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烟草制品零售点（以下简称“零售点”）是指依法取得烟草专卖零售许可证从事烟草制品零售业务的公民、法人及其他组织开展烟草制品零售业务的经营场所，且经营场所应具备满足最低经营需求的基本设施条件，形成初步的经营业态。</w:t>
      </w:r>
    </w:p>
    <w:p>
      <w:pPr>
        <w:pStyle w:val="2"/>
        <w:spacing w:after="0" w:line="576" w:lineRule="exact"/>
        <w:ind w:firstLine="640" w:firstLineChars="200"/>
        <w:jc w:val="left"/>
        <w:rPr>
          <w:rFonts w:ascii="仿宋" w:hAnsi="仿宋" w:eastAsia="仿宋" w:cs="仿宋"/>
          <w:color w:val="auto"/>
          <w:kern w:val="0"/>
          <w:sz w:val="32"/>
          <w:szCs w:val="32"/>
          <w:shd w:val="clear" w:color="auto" w:fill="FFFFFF"/>
        </w:rPr>
      </w:pPr>
      <w:r>
        <w:rPr>
          <w:rFonts w:hint="eastAsia" w:ascii="楷体" w:hAnsi="楷体" w:eastAsia="楷体" w:cs="黑体"/>
          <w:bCs/>
          <w:color w:val="auto"/>
          <w:kern w:val="0"/>
          <w:sz w:val="32"/>
          <w:szCs w:val="32"/>
          <w:shd w:val="clear" w:color="auto" w:fill="FFFFFF"/>
        </w:rPr>
        <w:t>第四条</w:t>
      </w:r>
      <w:r>
        <w:rPr>
          <w:rFonts w:ascii="仿宋" w:hAnsi="仿宋" w:eastAsia="仿宋" w:cs="黑体"/>
          <w:bCs/>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烟草制品零售点合理布局以市场为导向，遵循依法行政、科学规划、服务社会、均衡发展的原则。</w:t>
      </w:r>
    </w:p>
    <w:p>
      <w:pPr>
        <w:spacing w:line="576" w:lineRule="exact"/>
        <w:ind w:firstLine="640" w:firstLineChars="200"/>
        <w:jc w:val="left"/>
        <w:rPr>
          <w:rFonts w:ascii="仿宋" w:hAnsi="仿宋" w:eastAsia="仿宋" w:cs="仿宋"/>
          <w:color w:val="auto"/>
          <w:sz w:val="32"/>
          <w:szCs w:val="32"/>
        </w:rPr>
      </w:pPr>
      <w:r>
        <w:rPr>
          <w:rFonts w:hint="eastAsia" w:ascii="楷体" w:hAnsi="楷体" w:eastAsia="楷体" w:cs="黑体"/>
          <w:bCs/>
          <w:color w:val="auto"/>
          <w:kern w:val="0"/>
          <w:sz w:val="32"/>
          <w:szCs w:val="32"/>
          <w:shd w:val="clear" w:color="auto" w:fill="FFFFFF"/>
        </w:rPr>
        <w:t>第五条</w:t>
      </w:r>
      <w:r>
        <w:rPr>
          <w:rFonts w:ascii="仿宋" w:hAnsi="仿宋" w:eastAsia="仿宋" w:cs="仿宋"/>
          <w:color w:val="auto"/>
          <w:sz w:val="32"/>
          <w:szCs w:val="32"/>
        </w:rPr>
        <w:t xml:space="preserve">  </w:t>
      </w:r>
      <w:r>
        <w:rPr>
          <w:rFonts w:hint="eastAsia" w:ascii="仿宋" w:hAnsi="仿宋" w:eastAsia="仿宋" w:cs="仿宋"/>
          <w:color w:val="auto"/>
          <w:sz w:val="32"/>
          <w:szCs w:val="32"/>
        </w:rPr>
        <w:t>由</w:t>
      </w:r>
      <w:r>
        <w:rPr>
          <w:rFonts w:hint="eastAsia" w:ascii="仿宋" w:hAnsi="仿宋" w:eastAsia="仿宋" w:cs="仿宋"/>
          <w:color w:val="auto"/>
          <w:sz w:val="32"/>
          <w:szCs w:val="32"/>
          <w:lang w:val="en-US" w:eastAsia="zh-CN"/>
        </w:rPr>
        <w:t>卢氏县</w:t>
      </w:r>
      <w:r>
        <w:rPr>
          <w:rFonts w:hint="eastAsia" w:ascii="仿宋" w:hAnsi="仿宋" w:eastAsia="仿宋" w:cs="仿宋"/>
          <w:color w:val="auto"/>
          <w:sz w:val="32"/>
          <w:szCs w:val="32"/>
        </w:rPr>
        <w:t>烟草专卖局综合考虑零售点存量、人口数量、交通状况、经济发展水平、消费能力等因素，</w:t>
      </w:r>
      <w:r>
        <w:rPr>
          <w:rFonts w:hint="eastAsia" w:ascii="仿宋_GB2312" w:hAnsi="仿宋_GB2312" w:eastAsia="仿宋_GB2312" w:cs="仿宋_GB2312"/>
          <w:color w:val="auto"/>
          <w:kern w:val="0"/>
          <w:sz w:val="32"/>
          <w:szCs w:val="32"/>
          <w:lang w:bidi="ar"/>
        </w:rPr>
        <w:t>将辖区划分若干市场单元，并</w:t>
      </w:r>
      <w:r>
        <w:rPr>
          <w:rFonts w:hint="eastAsia" w:ascii="仿宋" w:hAnsi="仿宋" w:eastAsia="仿宋" w:cs="仿宋"/>
          <w:color w:val="auto"/>
          <w:sz w:val="32"/>
          <w:szCs w:val="32"/>
        </w:rPr>
        <w:t>确定市场单元零售点的指导数。</w:t>
      </w:r>
    </w:p>
    <w:p>
      <w:pPr>
        <w:pStyle w:val="2"/>
        <w:spacing w:after="0" w:line="576" w:lineRule="exact"/>
        <w:ind w:firstLine="640" w:firstLineChars="200"/>
        <w:jc w:val="left"/>
        <w:rPr>
          <w:rFonts w:hint="eastAsia" w:ascii="仿宋" w:hAnsi="仿宋" w:eastAsia="仿宋" w:cs="仿宋"/>
          <w:color w:val="auto"/>
          <w:kern w:val="0"/>
          <w:sz w:val="32"/>
          <w:szCs w:val="32"/>
          <w:shd w:val="clear" w:color="auto" w:fill="FFFFFF"/>
        </w:rPr>
      </w:pPr>
      <w:r>
        <w:rPr>
          <w:rFonts w:hint="eastAsia" w:ascii="楷体" w:hAnsi="楷体" w:eastAsia="楷体" w:cs="黑体"/>
          <w:bCs/>
          <w:color w:val="auto"/>
          <w:kern w:val="0"/>
          <w:sz w:val="32"/>
          <w:szCs w:val="32"/>
          <w:shd w:val="clear" w:color="auto" w:fill="FFFFFF"/>
        </w:rPr>
        <w:t>第六条</w:t>
      </w:r>
      <w:r>
        <w:rPr>
          <w:rFonts w:ascii="仿宋" w:hAnsi="仿宋" w:eastAsia="仿宋" w:cs="黑体"/>
          <w:bCs/>
          <w:color w:val="auto"/>
          <w:kern w:val="0"/>
          <w:sz w:val="32"/>
          <w:szCs w:val="32"/>
          <w:shd w:val="clear" w:color="auto" w:fill="FFFFFF"/>
        </w:rPr>
        <w:t xml:space="preserve">  </w:t>
      </w:r>
      <w:r>
        <w:rPr>
          <w:rFonts w:hint="eastAsia" w:ascii="仿宋" w:hAnsi="仿宋" w:eastAsia="仿宋"/>
          <w:color w:val="auto"/>
          <w:sz w:val="32"/>
          <w:szCs w:val="32"/>
          <w:shd w:val="clear" w:color="auto" w:fill="FFFFFF"/>
        </w:rPr>
        <w:t>为了合理满足消费需求、防止无序</w:t>
      </w:r>
      <w:r>
        <w:rPr>
          <w:rFonts w:hint="eastAsia" w:ascii="仿宋" w:hAnsi="仿宋" w:eastAsia="仿宋"/>
          <w:color w:val="auto"/>
          <w:sz w:val="32"/>
          <w:szCs w:val="32"/>
          <w:shd w:val="clear" w:color="auto" w:fill="FFFFFF"/>
          <w:lang w:val="en-US" w:eastAsia="zh-CN"/>
        </w:rPr>
        <w:t>无序</w:t>
      </w:r>
      <w:r>
        <w:rPr>
          <w:rFonts w:hint="eastAsia" w:ascii="仿宋" w:hAnsi="仿宋" w:eastAsia="仿宋"/>
          <w:color w:val="auto"/>
          <w:sz w:val="32"/>
          <w:szCs w:val="32"/>
          <w:shd w:val="clear" w:color="auto" w:fill="FFFFFF"/>
        </w:rPr>
        <w:t>竞争、落实控烟履约要求，对</w:t>
      </w:r>
      <w:r>
        <w:rPr>
          <w:rFonts w:hint="eastAsia" w:ascii="仿宋" w:hAnsi="仿宋" w:eastAsia="仿宋"/>
          <w:color w:val="auto"/>
          <w:sz w:val="32"/>
          <w:szCs w:val="32"/>
          <w:shd w:val="clear" w:color="auto" w:fill="FFFFFF"/>
          <w:lang w:val="en-US" w:eastAsia="zh-CN"/>
        </w:rPr>
        <w:t>卢氏县</w:t>
      </w:r>
      <w:r>
        <w:rPr>
          <w:rFonts w:hint="eastAsia" w:ascii="仿宋" w:hAnsi="仿宋" w:eastAsia="仿宋"/>
          <w:color w:val="auto"/>
          <w:sz w:val="32"/>
          <w:szCs w:val="32"/>
          <w:shd w:val="clear" w:color="auto" w:fill="FFFFFF"/>
        </w:rPr>
        <w:t>辖区的市场单元和市场单元</w:t>
      </w:r>
      <w:r>
        <w:rPr>
          <w:rFonts w:ascii="仿宋" w:hAnsi="仿宋" w:eastAsia="仿宋"/>
          <w:color w:val="auto"/>
          <w:sz w:val="32"/>
          <w:szCs w:val="32"/>
          <w:shd w:val="clear" w:color="auto" w:fill="FFFFFF"/>
        </w:rPr>
        <w:t>内</w:t>
      </w:r>
      <w:r>
        <w:rPr>
          <w:rFonts w:hint="eastAsia" w:ascii="仿宋" w:hAnsi="仿宋" w:eastAsia="仿宋" w:cs="仿宋"/>
          <w:color w:val="auto"/>
          <w:sz w:val="32"/>
          <w:szCs w:val="32"/>
          <w:shd w:val="clear" w:color="auto" w:fill="FFFFFF"/>
        </w:rPr>
        <w:t>的</w:t>
      </w:r>
      <w:r>
        <w:rPr>
          <w:rFonts w:hint="eastAsia" w:ascii="仿宋" w:hAnsi="仿宋" w:eastAsia="仿宋" w:cs="仿宋"/>
          <w:color w:val="auto"/>
          <w:sz w:val="32"/>
          <w:szCs w:val="32"/>
          <w:shd w:val="clear" w:color="auto" w:fill="FFFFFF"/>
          <w:lang w:val="en-US" w:eastAsia="zh-CN"/>
        </w:rPr>
        <w:t>零售点合理布局</w:t>
      </w:r>
      <w:r>
        <w:rPr>
          <w:rFonts w:ascii="仿宋" w:hAnsi="仿宋" w:eastAsia="仿宋" w:cs="仿宋"/>
          <w:color w:val="auto"/>
          <w:sz w:val="32"/>
          <w:szCs w:val="32"/>
          <w:shd w:val="clear" w:color="auto" w:fill="FFFFFF"/>
        </w:rPr>
        <w:t>进行</w:t>
      </w:r>
      <w:r>
        <w:rPr>
          <w:rFonts w:hint="eastAsia" w:ascii="仿宋" w:hAnsi="仿宋" w:eastAsia="仿宋" w:cs="仿宋"/>
          <w:color w:val="auto"/>
          <w:sz w:val="32"/>
          <w:szCs w:val="32"/>
          <w:shd w:val="clear" w:color="auto" w:fill="FFFFFF"/>
        </w:rPr>
        <w:t>动态</w:t>
      </w:r>
      <w:r>
        <w:rPr>
          <w:rFonts w:ascii="仿宋" w:hAnsi="仿宋" w:eastAsia="仿宋" w:cs="仿宋"/>
          <w:color w:val="auto"/>
          <w:sz w:val="32"/>
          <w:szCs w:val="32"/>
          <w:shd w:val="clear" w:color="auto" w:fill="FFFFFF"/>
        </w:rPr>
        <w:t>调整</w:t>
      </w:r>
      <w:r>
        <w:rPr>
          <w:rFonts w:hint="eastAsia" w:ascii="仿宋" w:hAnsi="仿宋" w:eastAsia="仿宋" w:cs="仿宋"/>
          <w:color w:val="auto"/>
          <w:sz w:val="32"/>
          <w:szCs w:val="32"/>
          <w:shd w:val="clear" w:color="auto" w:fill="FFFFFF"/>
        </w:rPr>
        <w:t>，以发布为准，</w:t>
      </w:r>
      <w:r>
        <w:rPr>
          <w:rFonts w:hint="eastAsia" w:ascii="仿宋" w:hAnsi="仿宋" w:eastAsia="仿宋" w:cs="仿宋"/>
          <w:color w:val="auto"/>
          <w:sz w:val="32"/>
          <w:szCs w:val="32"/>
        </w:rPr>
        <w:t>根据辖区内的</w:t>
      </w:r>
      <w:r>
        <w:rPr>
          <w:rFonts w:hint="eastAsia" w:ascii="仿宋" w:hAnsi="仿宋" w:eastAsia="仿宋" w:cs="仿宋"/>
          <w:color w:val="auto"/>
          <w:sz w:val="32"/>
          <w:szCs w:val="32"/>
          <w:lang w:val="en-US" w:eastAsia="zh-CN"/>
        </w:rPr>
        <w:t>人口数量、交通状况、经济发展水平、消费能力、</w:t>
      </w:r>
      <w:r>
        <w:rPr>
          <w:rFonts w:hint="eastAsia" w:ascii="仿宋" w:hAnsi="仿宋" w:eastAsia="仿宋" w:cs="仿宋"/>
          <w:color w:val="auto"/>
          <w:sz w:val="32"/>
          <w:szCs w:val="32"/>
        </w:rPr>
        <w:t>烟草制品零售点数量、盈利水平、诚信等级等因素，科学设定</w:t>
      </w:r>
      <w:r>
        <w:rPr>
          <w:rFonts w:hint="eastAsia" w:ascii="仿宋" w:hAnsi="仿宋" w:eastAsia="仿宋" w:cs="仿宋"/>
          <w:color w:val="auto"/>
          <w:sz w:val="32"/>
          <w:szCs w:val="32"/>
          <w:lang w:val="en-US" w:eastAsia="zh-CN"/>
        </w:rPr>
        <w:t>烟草制品零售点数量布局</w:t>
      </w:r>
      <w:r>
        <w:rPr>
          <w:rFonts w:hint="eastAsia" w:ascii="仿宋" w:hAnsi="仿宋" w:eastAsia="仿宋" w:cs="仿宋"/>
          <w:color w:val="auto"/>
          <w:sz w:val="32"/>
          <w:szCs w:val="32"/>
        </w:rPr>
        <w:t>。</w:t>
      </w:r>
      <w:r>
        <w:rPr>
          <w:rFonts w:ascii="仿宋" w:hAnsi="仿宋" w:eastAsia="仿宋"/>
          <w:color w:val="auto"/>
          <w:sz w:val="32"/>
          <w:szCs w:val="32"/>
          <w:shd w:val="clear" w:color="auto" w:fill="FFFFFF"/>
        </w:rPr>
        <w:t>零售点数量</w:t>
      </w:r>
      <w:r>
        <w:rPr>
          <w:rFonts w:hint="eastAsia" w:ascii="仿宋" w:hAnsi="仿宋" w:eastAsia="仿宋"/>
          <w:color w:val="auto"/>
          <w:sz w:val="32"/>
          <w:szCs w:val="32"/>
          <w:shd w:val="clear" w:color="auto" w:fill="FFFFFF"/>
          <w:lang w:val="en-US" w:eastAsia="zh-CN"/>
        </w:rPr>
        <w:t>布局</w:t>
      </w:r>
      <w:r>
        <w:rPr>
          <w:rFonts w:ascii="仿宋" w:hAnsi="仿宋" w:eastAsia="仿宋"/>
          <w:color w:val="auto"/>
          <w:sz w:val="32"/>
          <w:szCs w:val="32"/>
          <w:shd w:val="clear" w:color="auto" w:fill="FFFFFF"/>
        </w:rPr>
        <w:t>设置以指导</w:t>
      </w:r>
      <w:r>
        <w:rPr>
          <w:rFonts w:hint="eastAsia" w:ascii="仿宋" w:hAnsi="仿宋" w:eastAsia="仿宋"/>
          <w:color w:val="auto"/>
          <w:sz w:val="32"/>
          <w:szCs w:val="32"/>
          <w:shd w:val="clear" w:color="auto" w:fill="FFFFFF"/>
        </w:rPr>
        <w:t>数</w:t>
      </w:r>
      <w:r>
        <w:rPr>
          <w:rFonts w:ascii="仿宋" w:hAnsi="仿宋" w:eastAsia="仿宋"/>
          <w:color w:val="auto"/>
          <w:sz w:val="32"/>
          <w:szCs w:val="32"/>
          <w:shd w:val="clear" w:color="auto" w:fill="FFFFFF"/>
        </w:rPr>
        <w:t>为</w:t>
      </w:r>
      <w:r>
        <w:rPr>
          <w:rFonts w:hint="eastAsia" w:ascii="仿宋" w:hAnsi="仿宋" w:eastAsia="仿宋"/>
          <w:color w:val="auto"/>
          <w:sz w:val="32"/>
          <w:szCs w:val="32"/>
          <w:shd w:val="clear" w:color="auto" w:fill="FFFFFF"/>
          <w:lang w:val="en-US" w:eastAsia="zh-CN"/>
        </w:rPr>
        <w:t>基本参照</w:t>
      </w:r>
      <w:r>
        <w:rPr>
          <w:rFonts w:ascii="仿宋" w:hAnsi="仿宋" w:eastAsia="仿宋"/>
          <w:color w:val="auto"/>
          <w:sz w:val="32"/>
          <w:szCs w:val="32"/>
          <w:shd w:val="clear" w:color="auto" w:fill="FFFFFF"/>
        </w:rPr>
        <w:t>，</w:t>
      </w:r>
      <w:r>
        <w:rPr>
          <w:rFonts w:hint="eastAsia" w:ascii="仿宋" w:hAnsi="仿宋" w:eastAsia="仿宋"/>
          <w:color w:val="auto"/>
          <w:sz w:val="32"/>
          <w:szCs w:val="32"/>
          <w:shd w:val="clear" w:color="auto" w:fill="FFFFFF"/>
          <w:lang w:val="en-US" w:eastAsia="zh-CN"/>
        </w:rPr>
        <w:t>一定时期内根据实际动态把握调整</w:t>
      </w:r>
      <w:r>
        <w:rPr>
          <w:rFonts w:ascii="仿宋" w:hAnsi="仿宋" w:eastAsia="仿宋"/>
          <w:color w:val="auto"/>
          <w:sz w:val="32"/>
          <w:szCs w:val="32"/>
          <w:shd w:val="clear" w:color="auto" w:fill="FFFFFF"/>
        </w:rPr>
        <w:t>，</w:t>
      </w:r>
      <w:r>
        <w:rPr>
          <w:rFonts w:hint="eastAsia" w:ascii="仿宋" w:hAnsi="仿宋" w:eastAsia="仿宋"/>
          <w:color w:val="auto"/>
          <w:sz w:val="32"/>
          <w:szCs w:val="32"/>
          <w:shd w:val="clear" w:color="auto" w:fill="FFFFFF"/>
          <w:lang w:val="en-US" w:eastAsia="zh-CN"/>
        </w:rPr>
        <w:t>在已经满足市场消费需求的情况下，</w:t>
      </w:r>
      <w:r>
        <w:rPr>
          <w:rFonts w:hint="eastAsia" w:ascii="仿宋" w:hAnsi="仿宋" w:eastAsia="仿宋"/>
          <w:color w:val="auto"/>
          <w:sz w:val="32"/>
          <w:szCs w:val="32"/>
          <w:shd w:val="clear" w:color="auto" w:fill="FFFFFF"/>
        </w:rPr>
        <w:t>按照</w:t>
      </w:r>
      <w:r>
        <w:rPr>
          <w:rFonts w:ascii="仿宋" w:hAnsi="仿宋" w:eastAsia="仿宋"/>
          <w:color w:val="auto"/>
          <w:sz w:val="32"/>
          <w:szCs w:val="32"/>
          <w:shd w:val="clear" w:color="auto" w:fill="FFFFFF"/>
        </w:rPr>
        <w:t>“退一进一”原则</w:t>
      </w:r>
      <w:r>
        <w:rPr>
          <w:rFonts w:hint="eastAsia" w:ascii="仿宋" w:hAnsi="仿宋" w:eastAsia="仿宋"/>
          <w:color w:val="auto"/>
          <w:sz w:val="32"/>
          <w:szCs w:val="32"/>
          <w:shd w:val="clear" w:color="auto" w:fill="FFFFFF"/>
        </w:rPr>
        <w:t>，</w:t>
      </w:r>
      <w:r>
        <w:rPr>
          <w:rFonts w:hint="eastAsia" w:ascii="仿宋" w:hAnsi="仿宋" w:eastAsia="仿宋" w:cs="仿宋"/>
          <w:color w:val="auto"/>
          <w:kern w:val="0"/>
          <w:sz w:val="32"/>
          <w:szCs w:val="32"/>
          <w:shd w:val="clear" w:color="auto" w:fill="FFFFFF"/>
        </w:rPr>
        <w:t>根据排队轮候顺序依法受理。</w:t>
      </w:r>
    </w:p>
    <w:p>
      <w:pPr>
        <w:spacing w:line="576" w:lineRule="exact"/>
        <w:ind w:firstLine="640" w:firstLineChars="200"/>
        <w:jc w:val="left"/>
        <w:rPr>
          <w:rFonts w:ascii="仿宋" w:hAnsi="仿宋" w:eastAsia="仿宋" w:cs="仿宋"/>
          <w:color w:val="auto"/>
          <w:kern w:val="0"/>
          <w:sz w:val="32"/>
          <w:szCs w:val="32"/>
          <w:shd w:val="clear" w:color="auto" w:fill="FFFFFF"/>
        </w:rPr>
      </w:pPr>
      <w:r>
        <w:rPr>
          <w:rFonts w:hint="eastAsia" w:ascii="楷体" w:hAnsi="楷体" w:eastAsia="楷体" w:cs="黑体"/>
          <w:bCs/>
          <w:color w:val="auto"/>
          <w:kern w:val="0"/>
          <w:sz w:val="32"/>
          <w:szCs w:val="32"/>
          <w:shd w:val="clear" w:color="auto" w:fill="FFFFFF"/>
        </w:rPr>
        <w:t>第七条</w:t>
      </w:r>
      <w:r>
        <w:rPr>
          <w:rFonts w:ascii="仿宋" w:hAnsi="仿宋" w:eastAsia="仿宋" w:cs="黑体"/>
          <w:bCs/>
          <w:color w:val="auto"/>
          <w:kern w:val="0"/>
          <w:sz w:val="32"/>
          <w:szCs w:val="32"/>
          <w:shd w:val="clear" w:color="auto" w:fill="FFFFFF"/>
        </w:rPr>
        <w:t xml:space="preserve">  </w:t>
      </w:r>
      <w:r>
        <w:rPr>
          <w:rFonts w:hint="eastAsia" w:ascii="仿宋" w:hAnsi="仿宋" w:eastAsia="仿宋" w:cs="仿宋"/>
          <w:color w:val="auto"/>
          <w:sz w:val="32"/>
          <w:szCs w:val="32"/>
        </w:rPr>
        <w:t>零售点合理布局规划应向社会公示。</w:t>
      </w:r>
    </w:p>
    <w:p>
      <w:pPr>
        <w:spacing w:line="576" w:lineRule="exact"/>
        <w:ind w:firstLine="640" w:firstLineChars="200"/>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第二章  零售点总体布局规划</w:t>
      </w:r>
    </w:p>
    <w:p>
      <w:pPr>
        <w:pStyle w:val="4"/>
        <w:shd w:val="clear" w:color="auto" w:fill="FFFFFF"/>
        <w:spacing w:before="0" w:beforeAutospacing="0" w:after="0" w:afterAutospacing="0" w:line="576" w:lineRule="exact"/>
        <w:ind w:firstLine="640" w:firstLineChars="200"/>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本辖区内烟草制品零售点的总体布局规划实行：“距离+总量+限制性条款”的组合模式。</w:t>
      </w:r>
    </w:p>
    <w:p>
      <w:pPr>
        <w:pStyle w:val="4"/>
        <w:shd w:val="clear" w:color="auto" w:fill="FFFFFF"/>
        <w:spacing w:before="0" w:beforeAutospacing="0" w:after="0" w:afterAutospacing="0"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第八条  距离限制模式</w:t>
      </w:r>
    </w:p>
    <w:p>
      <w:pPr>
        <w:widowControl/>
        <w:ind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根据区域位置、消费结构、人口密度、环境差异等因素将卢氏县辖区划分为主干道、次干道、其他区域、公路沿线和农村村舍五类布局区域。</w:t>
      </w:r>
    </w:p>
    <w:p>
      <w:pPr>
        <w:widowControl/>
        <w:ind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（一）主干道两个零售点间距不低于50米（不受距离限制及放宽情形的除外）。</w:t>
      </w:r>
    </w:p>
    <w:p>
      <w:pPr>
        <w:widowControl/>
        <w:ind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（二）次干道、街、乡镇政府所在地两个零售点间距不低于70米（不受距离限制及放宽情形的除外）。</w:t>
      </w:r>
    </w:p>
    <w:p>
      <w:pPr>
        <w:widowControl/>
        <w:ind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（三）除本条（一）（二）款规定以外的其他城镇区域，两个零售点间距不低于100米（不受距离限制及放宽情形的除外）。</w:t>
      </w:r>
    </w:p>
    <w:p>
      <w:pPr>
        <w:pStyle w:val="2"/>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（四）公路沿线两个零售点间距不低于200米。</w:t>
      </w:r>
    </w:p>
    <w:p>
      <w:pPr>
        <w:pStyle w:val="2"/>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（五）农村村舍两个零售点间距不低于500米。</w:t>
      </w:r>
    </w:p>
    <w:p>
      <w:pPr>
        <w:pStyle w:val="4"/>
        <w:shd w:val="clear" w:color="auto" w:fill="FFFFFF"/>
        <w:spacing w:before="0" w:beforeAutospacing="0" w:after="0" w:afterAutospacing="0"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第九条  总量限制模式</w:t>
      </w:r>
    </w:p>
    <w:p>
      <w:pPr>
        <w:pStyle w:val="4"/>
        <w:shd w:val="clear" w:color="auto" w:fill="FFFFFF"/>
        <w:spacing w:before="0" w:beforeAutospacing="0" w:after="0" w:afterAutospacing="0"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（一）有下列情形之一的，不受本规划第八条限制。</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1.行政村根据市场单元指导数量，按总量限制原则设置零售点。</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实行物业管理小区内部：每500户（以套房数量计算）设置1个零售点，每增加500户增设一个零售点，最多不超过2个，且零售点之间间距不低于50米；经营场所临街的，按所在地段零售点间距规定设置，小区内设置的零售点不作为小区外新设零售点的参照。</w:t>
      </w:r>
    </w:p>
    <w:p>
      <w:pPr>
        <w:pStyle w:val="4"/>
        <w:shd w:val="clear" w:color="auto" w:fill="FFFFFF"/>
        <w:spacing w:before="0" w:beforeAutospacing="0" w:after="0" w:afterAutospacing="0"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3.特殊场所的零售点设置：</w:t>
      </w:r>
    </w:p>
    <w:p>
      <w:pPr>
        <w:pStyle w:val="2"/>
        <w:spacing w:after="0"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（1）火车站、长途汽车站候车厅零售点按占地面积和人流量的大小适当设置，1000平方米以上和日均客流量超2000人次的可设置2个，新增车站、候车厅设置零售点最多不超过2个</w:t>
      </w:r>
    </w:p>
    <w:p>
      <w:pPr>
        <w:pStyle w:val="2"/>
        <w:spacing w:after="0"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（2）综合性市场、专业市场内，每100间门店设置1个零售点，最多不超过5个。</w:t>
      </w:r>
    </w:p>
    <w:p>
      <w:pPr>
        <w:spacing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（3）客房达到200间以上的宾馆酒店，可设置1个零售点。</w:t>
      </w:r>
    </w:p>
    <w:p>
      <w:pPr>
        <w:spacing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实行封闭式管理的生产制造企业、独立工矿区、国营农场、林场等城镇型居民点和景区等内部场所，经场所内部审批通过的，可按每1000人设立1个零售点的原则设置，不足1000人的按1个零售点规定，每增1000人增设1个零售点，最多不超过3个（不含其生活区，生活区按小区规定）</w:t>
      </w:r>
    </w:p>
    <w:p>
      <w:pPr>
        <w:spacing w:line="576"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（5）商业步行街100米（3个零售点之间的距离和）范围内不超过3个零售点；（商业步行街包括东大街、西大街、休闲路）</w:t>
      </w:r>
    </w:p>
    <w:p>
      <w:pPr>
        <w:bidi w:val="0"/>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（6）其他实行封闭管理的特殊场所（军事管理区、监狱、看守所、戒毒所等），经场所内部审批通过的，每3000人可设置一个零售点，最多可设置2个。</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4.在满足所属市场单元容量前提下，下列情形按照一址一证的原则办理烟草专卖零售许可证，且不作为周边新设零售点的参照：</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（1）农村空白行政村符合办证条件的经营户；</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（2）星级宾馆和饭店、大中型连锁商务酒店、餐馆、娱乐场所、体育场馆等场所（上文所指大型场所是指经营面积在500平方米以上，中型场所经营面积在300平方米以上）；</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（3）建筑面积在500平方米（含）以上，以出租柜台（摊位）为主要经营形式的超市、大型商场、购物中心,按区域楼层划分，每区域楼层可设置一个零售点；</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（4）具有安全保障措施的加油（气）站的便利店；</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（5）高速公路同一服务区在公路两侧各设一个零售点；</w:t>
      </w:r>
    </w:p>
    <w:p>
      <w:pPr>
        <w:autoSpaceDE w:val="0"/>
        <w:autoSpaceDN w:val="0"/>
        <w:adjustRightInd w:val="0"/>
        <w:spacing w:line="580" w:lineRule="exact"/>
        <w:ind w:firstLine="64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（6）当地政府发布文件中指出的要支持、鼓励的品牌连锁便利店（不含外资）；</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（7）开放管理的旅游景区、度假村、公园内的规模较大的宾馆、酒楼、娱乐服务场所可分别设置1个对内经营的零售点；</w:t>
      </w:r>
    </w:p>
    <w:p>
      <w:pPr>
        <w:pStyle w:val="4"/>
        <w:spacing w:before="0" w:beforeAutospacing="0" w:after="0" w:afterAutospacing="0" w:line="580" w:lineRule="exact"/>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（8）根据烟草行业相关文件精神设立的具有形象展示、信息收集、消费跟踪、宣传促销和品牌培育、产品销售等综合性功能的自营店；</w:t>
      </w:r>
    </w:p>
    <w:p>
      <w:pPr>
        <w:pStyle w:val="4"/>
        <w:spacing w:before="0" w:beforeAutospacing="0" w:after="0" w:afterAutospacing="0" w:line="580" w:lineRule="exact"/>
        <w:ind w:firstLine="640" w:firstLineChars="200"/>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（9）其他符合办证条件的情形。</w:t>
      </w:r>
    </w:p>
    <w:p>
      <w:pPr>
        <w:pStyle w:val="2"/>
        <w:spacing w:after="0" w:line="576" w:lineRule="exact"/>
        <w:ind w:firstLine="640" w:firstLineChars="200"/>
        <w:jc w:val="left"/>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2"/>
          <w:sz w:val="32"/>
          <w:szCs w:val="32"/>
          <w:lang w:val="en-US" w:eastAsia="zh-CN" w:bidi="ar-SA"/>
        </w:rPr>
        <w:t>（二）与烟草制品零售业务没有直接或间接互补营销关系的经营场所（包括但不限于蛋糕店、五金电料、礼品回收、童车、首饰店、按摩推拿、文化体育、音像制品、母婴用品、寄卖典当、汽车租赁、农畜养殖、床上用品、书店、渔具、水产、花卉、祭祀用品、通信器材、报亭、文玩、洗车、装修材料、快递点、药店、油库营业室、旅行社等），设置零售点不得超过本辖区持证商户的1%，按照退一进一的原则办理。</w:t>
      </w:r>
    </w:p>
    <w:p>
      <w:pPr>
        <w:pStyle w:val="4"/>
        <w:shd w:val="clear" w:color="auto" w:fill="FFFFFF"/>
        <w:spacing w:before="0" w:beforeAutospacing="0" w:after="0" w:afterAutospacing="0" w:line="576" w:lineRule="exact"/>
        <w:ind w:firstLine="640" w:firstLineChars="200"/>
        <w:rPr>
          <w:rFonts w:ascii="仿宋" w:hAnsi="仿宋" w:eastAsia="仿宋" w:cs="仿宋"/>
          <w:color w:val="auto"/>
          <w:sz w:val="32"/>
          <w:szCs w:val="32"/>
          <w:shd w:val="clear" w:color="auto" w:fill="FFFFFF"/>
        </w:rPr>
      </w:pPr>
    </w:p>
    <w:p>
      <w:pPr>
        <w:spacing w:line="576" w:lineRule="exact"/>
        <w:ind w:firstLine="640" w:firstLineChars="200"/>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第三章  放宽情形</w:t>
      </w:r>
    </w:p>
    <w:p>
      <w:pPr>
        <w:numPr>
          <w:ilvl w:val="0"/>
          <w:numId w:val="0"/>
        </w:num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第十条 对下列情形在距离上予以放宽</w:t>
      </w:r>
    </w:p>
    <w:p>
      <w:pPr>
        <w:spacing w:line="600" w:lineRule="exac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kern w:val="2"/>
          <w:sz w:val="32"/>
          <w:szCs w:val="32"/>
          <w:lang w:val="en-US" w:eastAsia="zh-CN" w:bidi="ar-SA"/>
        </w:rPr>
        <w:t>（一）</w:t>
      </w:r>
      <w:r>
        <w:rPr>
          <w:rFonts w:hint="eastAsia" w:ascii="仿宋" w:hAnsi="仿宋" w:eastAsia="仿宋" w:cs="仿宋"/>
          <w:color w:val="auto"/>
          <w:sz w:val="32"/>
          <w:szCs w:val="32"/>
        </w:rPr>
        <w:t>残疾人、烈属（以家庭为单位）持有效证明首次申领烟草专卖零售许可证的，与周边最近零售点间距不得低于2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米。以烈属、残疾人证申领的烟草专卖零售许可证，拟变更的负责人（经营者）无残疾证明且不符合当地合理布局规划，则不适用该条款。</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（二）大型连锁超市(指规模在全国 50 家以上，具有统一形象标识、统一门店管控、统一设施配置、统一服务标准、统一商品采购、统一物流配送、以直营或加盟方式开展经营的便利店）每个门店首次申领零售许可证，与周边最近零售点间距不得低于25 米。</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lang w:val="en-US" w:eastAsia="zh-CN" w:bidi="ar-SA"/>
        </w:rPr>
        <w:t>（三）</w:t>
      </w:r>
      <w:r>
        <w:rPr>
          <w:rFonts w:hint="eastAsia" w:ascii="仿宋" w:hAnsi="仿宋" w:eastAsia="仿宋" w:cs="仿宋"/>
          <w:color w:val="auto"/>
          <w:sz w:val="32"/>
          <w:szCs w:val="32"/>
          <w:highlight w:val="none"/>
          <w:lang w:val="en-US" w:eastAsia="zh-CN"/>
        </w:rPr>
        <w:t>河南老兵驿站连锁超市有限公司门店</w:t>
      </w:r>
      <w:r>
        <w:rPr>
          <w:rFonts w:hint="eastAsia" w:ascii="仿宋" w:hAnsi="仿宋" w:eastAsia="仿宋" w:cs="仿宋"/>
          <w:color w:val="auto"/>
          <w:sz w:val="32"/>
          <w:szCs w:val="32"/>
        </w:rPr>
        <w:t>与周边最近零售点间距不得低于2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米。</w:t>
      </w:r>
    </w:p>
    <w:p>
      <w:pPr>
        <w:spacing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2"/>
          <w:sz w:val="32"/>
          <w:szCs w:val="32"/>
          <w:lang w:val="en-US" w:eastAsia="zh-CN" w:bidi="ar-SA"/>
        </w:rPr>
        <w:t>（四）因道路规划、城市建设等客观原因造成无法在核定的经营地址经营的零售点，持证人可提出变更申请到原发证机关辖区内其他地址经营，</w:t>
      </w:r>
      <w:r>
        <w:rPr>
          <w:rFonts w:hint="eastAsia" w:ascii="仿宋" w:hAnsi="仿宋" w:eastAsia="仿宋" w:cs="仿宋"/>
          <w:color w:val="auto"/>
          <w:sz w:val="32"/>
          <w:szCs w:val="32"/>
        </w:rPr>
        <w:t>不受间距</w:t>
      </w:r>
      <w:r>
        <w:rPr>
          <w:rFonts w:ascii="仿宋" w:hAnsi="仿宋" w:eastAsia="仿宋" w:cs="仿宋"/>
          <w:color w:val="auto"/>
          <w:sz w:val="32"/>
          <w:szCs w:val="32"/>
        </w:rPr>
        <w:t>限制</w:t>
      </w:r>
      <w:r>
        <w:rPr>
          <w:rFonts w:hint="eastAsia" w:ascii="仿宋" w:hAnsi="仿宋" w:eastAsia="仿宋" w:cs="仿宋"/>
          <w:strike w:val="0"/>
          <w:dstrike w:val="0"/>
          <w:color w:val="auto"/>
          <w:kern w:val="2"/>
          <w:sz w:val="32"/>
          <w:szCs w:val="32"/>
          <w:lang w:val="en-US" w:eastAsia="zh-CN" w:bidi="ar-SA"/>
        </w:rPr>
        <w:t>。</w:t>
      </w:r>
    </w:p>
    <w:p>
      <w:pPr>
        <w:pStyle w:val="2"/>
        <w:numPr>
          <w:ilvl w:val="0"/>
          <w:numId w:val="0"/>
        </w:numPr>
        <w:spacing w:after="0" w:line="576" w:lineRule="exact"/>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）单独经营雪茄烟的零售点，不受间距和数量的限制。雪茄烟专营店经营范围增加卷烟的，不再享受放宽情形照顾，应</w:t>
      </w:r>
      <w:r>
        <w:rPr>
          <w:rFonts w:hint="eastAsia" w:ascii="仿宋" w:hAnsi="仿宋" w:eastAsia="仿宋" w:cs="仿宋"/>
          <w:color w:val="auto"/>
          <w:sz w:val="32"/>
          <w:szCs w:val="32"/>
          <w:lang w:val="en-US" w:eastAsia="zh-CN"/>
        </w:rPr>
        <w:t>按照</w:t>
      </w:r>
      <w:r>
        <w:rPr>
          <w:rFonts w:hint="eastAsia" w:ascii="仿宋" w:hAnsi="仿宋" w:eastAsia="仿宋" w:cs="仿宋"/>
          <w:color w:val="auto"/>
          <w:sz w:val="32"/>
          <w:szCs w:val="32"/>
          <w:lang w:eastAsia="zh-CN"/>
        </w:rPr>
        <w:t>适用合理布局规划规定的指导数量和间距条件，提前申请变更许可证经营范围。</w:t>
      </w:r>
    </w:p>
    <w:p>
      <w:pPr>
        <w:spacing w:line="600" w:lineRule="exact"/>
        <w:ind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（六）其他有政策扶持需要的情形。</w:t>
      </w:r>
    </w:p>
    <w:p>
      <w:pPr>
        <w:spacing w:line="600" w:lineRule="exact"/>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新办申请在实地核查测量零售点最近间距时，不受残疾人、烈属、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老兵驿站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连锁超市</w:t>
      </w:r>
      <w:r>
        <w:rPr>
          <w:rFonts w:hint="eastAsia" w:ascii="仿宋" w:hAnsi="仿宋" w:eastAsia="仿宋" w:cs="仿宋"/>
          <w:color w:val="auto"/>
          <w:sz w:val="32"/>
          <w:szCs w:val="32"/>
        </w:rPr>
        <w:t>等已享受间距照顾的持证商户限制。</w:t>
      </w:r>
    </w:p>
    <w:p>
      <w:pPr>
        <w:pStyle w:val="2"/>
        <w:spacing w:after="0" w:line="576" w:lineRule="exact"/>
        <w:ind w:firstLine="640" w:firstLineChars="200"/>
        <w:jc w:val="left"/>
        <w:rPr>
          <w:rFonts w:hint="eastAsia" w:ascii="仿宋" w:hAnsi="仿宋" w:eastAsia="仿宋" w:cs="仿宋"/>
          <w:color w:val="auto"/>
          <w:sz w:val="32"/>
          <w:szCs w:val="32"/>
          <w:shd w:val="pct10" w:color="auto" w:fill="FFFFFF"/>
        </w:rPr>
      </w:pPr>
      <w:r>
        <w:rPr>
          <w:rFonts w:hint="eastAsia" w:ascii="楷体" w:hAnsi="楷体" w:eastAsia="楷体" w:cs="黑体"/>
          <w:bCs/>
          <w:color w:val="auto"/>
          <w:kern w:val="0"/>
          <w:sz w:val="32"/>
          <w:szCs w:val="32"/>
          <w:shd w:val="clear" w:color="auto" w:fill="FFFFFF"/>
        </w:rPr>
        <w:t xml:space="preserve">第十一条 </w:t>
      </w:r>
      <w:r>
        <w:rPr>
          <w:rFonts w:hint="eastAsia" w:ascii="仿宋" w:hAnsi="仿宋" w:eastAsia="仿宋" w:cs="仿宋"/>
          <w:color w:val="auto"/>
          <w:sz w:val="32"/>
          <w:szCs w:val="32"/>
        </w:rPr>
        <w:t>因中小学、幼儿园新建、改造导致的先店后校、先店后门等情况，以及合理布局标准修订等客观原因造成中小学、幼儿园周边零售点不符合相关要求，持证人提出变更申请到原发证机关辖区内其他地址经营的不受间距</w:t>
      </w:r>
      <w:r>
        <w:rPr>
          <w:rFonts w:ascii="仿宋" w:hAnsi="仿宋" w:eastAsia="仿宋" w:cs="仿宋"/>
          <w:color w:val="auto"/>
          <w:sz w:val="32"/>
          <w:szCs w:val="32"/>
        </w:rPr>
        <w:t>和数量的限制。</w:t>
      </w:r>
    </w:p>
    <w:p>
      <w:pPr>
        <w:spacing w:line="576" w:lineRule="exact"/>
        <w:ind w:firstLine="640" w:firstLineChars="200"/>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第四章</w:t>
      </w:r>
      <w:r>
        <w:rPr>
          <w:rFonts w:ascii="黑体" w:hAnsi="黑体" w:eastAsia="黑体" w:cs="黑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不予延续情形</w:t>
      </w:r>
    </w:p>
    <w:p>
      <w:pPr>
        <w:ind w:firstLine="640" w:firstLineChars="200"/>
        <w:rPr>
          <w:rFonts w:hint="eastAsia" w:ascii="仿宋" w:hAnsi="仿宋" w:eastAsia="仿宋" w:cs="仿宋"/>
          <w:color w:val="auto"/>
          <w:sz w:val="32"/>
          <w:szCs w:val="32"/>
        </w:rPr>
      </w:pPr>
      <w:r>
        <w:rPr>
          <w:rFonts w:hint="eastAsia" w:ascii="楷体" w:hAnsi="楷体" w:eastAsia="楷体" w:cs="黑体"/>
          <w:bCs/>
          <w:color w:val="auto"/>
          <w:kern w:val="0"/>
          <w:sz w:val="32"/>
          <w:szCs w:val="32"/>
          <w:shd w:val="clear" w:color="auto" w:fill="FFFFFF"/>
        </w:rPr>
        <w:t xml:space="preserve">第十二条 </w:t>
      </w:r>
      <w:r>
        <w:rPr>
          <w:rFonts w:hint="eastAsia" w:ascii="仿宋" w:hAnsi="仿宋" w:eastAsia="仿宋" w:cs="仿宋"/>
          <w:color w:val="auto"/>
          <w:sz w:val="32"/>
          <w:szCs w:val="32"/>
        </w:rPr>
        <w:t>有下列情形之一的，烟草专卖零售许可证有效期届满后不予延续：</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（一）经营场所基于安全因素不适宜经营卷烟的；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（二）中小学、幼儿园周围；</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（三）经营主体发生变化的；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（四）不再具备固定经营场所的；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（五）经营场所不再与住所相独立的；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（六）经营场所条件发生变化导致其既不符合取得许可时也不符合申请延续时的烟草制品零售点合理布局规划要求的；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（七）非法生产经营烟草专卖品数额在5万元以上或者违法所得数额在2万元以上或者非法经营卷烟20万支以上，未被追究刑事责任的；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（八）因非法生产经营烟草专卖品被追究刑事责任的；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（九）买卖、出租、出借或者以其他形式非法转让烟草专卖许可证的；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（十）被市场监管部门吊销营业执照的；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（十一）其他严重违法行为的。</w:t>
      </w:r>
    </w:p>
    <w:p>
      <w:pPr>
        <w:spacing w:line="576" w:lineRule="exact"/>
        <w:ind w:firstLine="640" w:firstLineChars="200"/>
        <w:jc w:val="center"/>
        <w:rPr>
          <w:rFonts w:ascii="黑体" w:hAnsi="黑体" w:eastAsia="黑体"/>
          <w:color w:val="auto"/>
          <w:sz w:val="32"/>
          <w:szCs w:val="32"/>
        </w:rPr>
      </w:pPr>
      <w:r>
        <w:rPr>
          <w:rFonts w:hint="eastAsia" w:ascii="黑体" w:hAnsi="黑体" w:eastAsia="黑体" w:cs="黑体"/>
          <w:color w:val="auto"/>
          <w:kern w:val="0"/>
          <w:sz w:val="32"/>
          <w:szCs w:val="32"/>
          <w:shd w:val="clear" w:color="auto" w:fill="FFFFFF"/>
        </w:rPr>
        <w:t>第五章</w:t>
      </w:r>
      <w:r>
        <w:rPr>
          <w:rFonts w:ascii="黑体" w:hAnsi="黑体" w:eastAsia="黑体" w:cs="黑体"/>
          <w:color w:val="auto"/>
          <w:kern w:val="0"/>
          <w:sz w:val="32"/>
          <w:szCs w:val="32"/>
          <w:shd w:val="clear" w:color="auto" w:fill="FFFFFF"/>
        </w:rPr>
        <w:t xml:space="preserve">  </w:t>
      </w:r>
      <w:r>
        <w:rPr>
          <w:rFonts w:hint="eastAsia" w:ascii="黑体" w:hAnsi="黑体" w:eastAsia="黑体" w:cs="黑体"/>
          <w:color w:val="auto"/>
          <w:kern w:val="0"/>
          <w:sz w:val="32"/>
          <w:szCs w:val="32"/>
          <w:shd w:val="clear" w:color="auto" w:fill="FFFFFF"/>
        </w:rPr>
        <w:t>不予设置情形</w:t>
      </w:r>
    </w:p>
    <w:p>
      <w:pPr>
        <w:ind w:firstLine="640" w:firstLineChars="200"/>
        <w:rPr>
          <w:rFonts w:ascii="仿宋" w:hAnsi="仿宋" w:eastAsia="仿宋" w:cs="仿宋"/>
          <w:color w:val="auto"/>
          <w:sz w:val="32"/>
          <w:szCs w:val="32"/>
        </w:rPr>
      </w:pPr>
      <w:r>
        <w:rPr>
          <w:rFonts w:hint="eastAsia" w:ascii="楷体" w:hAnsi="楷体" w:eastAsia="楷体" w:cs="楷体"/>
          <w:color w:val="auto"/>
          <w:sz w:val="32"/>
          <w:szCs w:val="32"/>
        </w:rPr>
        <w:t>第十三条</w:t>
      </w:r>
      <w:r>
        <w:rPr>
          <w:rFonts w:hint="eastAsia" w:ascii="仿宋" w:hAnsi="仿宋" w:eastAsia="仿宋" w:cs="仿宋"/>
          <w:color w:val="auto"/>
          <w:sz w:val="32"/>
          <w:szCs w:val="32"/>
        </w:rPr>
        <w:t xml:space="preserve"> 有下列情形之一的，不予设置烟草制品零售点: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（一）申请人无固定经营场所的；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（二）申请人不具备申请资格的；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（三）申请人的经营场所与住所不相独立的；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（四）取消从事烟草专卖业务资格不满三年的；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（五）因申请人隐瞒有关情况或者提供虚假材料的，申请人在一年内再次申请烟草专卖许可证的；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（六）因申请人以欺骗、贿赂等不正当手段取得的烟草专卖许可证被撤销后，申请人三年内再次提出申请的；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（七）未领取烟草专卖零售许可证经营烟草专卖品业务，并且一年内被执法机关处罚两次以上，在三年内申请领取烟草专卖零售许可证的；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（八）未领取烟草专卖零售许可证经营烟草专卖品业务被追究刑事责任，在三年内申请领取烟草专卖零售许可证的；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（九）经营场所基于安全因素不适宜经营卷烟，</w:t>
      </w:r>
      <w:r>
        <w:rPr>
          <w:rFonts w:hint="eastAsia" w:ascii="仿宋" w:hAnsi="仿宋" w:eastAsia="仿宋" w:cs="仿宋"/>
          <w:color w:val="auto"/>
          <w:sz w:val="32"/>
          <w:szCs w:val="32"/>
          <w:shd w:val="clear" w:color="auto" w:fill="FFFFFF"/>
        </w:rPr>
        <w:t>经消防等职能部门认定的安全隐患，生产、经营、储存有毒有害、易挥发类物质，不符合食品安全标准，容易造成卷烟污染的</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（十）中小学校依法可通行的出入口</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米以内不予设置零售点；幼儿园依法可通行的出入口</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米以内不予设置零售点；可向学校、幼儿园内销售卷烟的窗口、栅栏等情形的；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（十一）一个经营场所已经办理了烟草专卖零售许可证的；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（十二）外商投资的商业企业或者个体工商户不得从事烟草专卖品批发或者零售业务，以特许、吸纳加盟店及其他再投资等形式变相从事烟草专卖品经营业务的；</w:t>
      </w:r>
    </w:p>
    <w:p>
      <w:pPr>
        <w:pStyle w:val="3"/>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（十三）公民、法人或者其他组织利用自动售货机或者其他自动售货形式，销售或者变相销售烟草制品的。</w:t>
      </w:r>
    </w:p>
    <w:p>
      <w:pPr>
        <w:pStyle w:val="3"/>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（十四）除了取得烟草专卖生产企业许可证或者烟草专卖批发企业许可证的企业依法销售烟草专卖品外，任何公民、法人或者其他组织通过信息网络销售烟草专卖品的；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（十五） 申请人为无民事行为能力人或者限制行为能力人的；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（十六）经营场所位于国家机关、党政机关内部和医疗机构内部的；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（十七）相关法律、法规、规章和烟草专卖行政主管部门及政府行政规范性文件规定的其它情形；</w:t>
      </w:r>
    </w:p>
    <w:p>
      <w:pPr>
        <w:spacing w:line="576" w:lineRule="exact"/>
        <w:ind w:firstLine="640" w:firstLineChars="200"/>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第六章  附  则</w:t>
      </w:r>
    </w:p>
    <w:p>
      <w:pPr>
        <w:ind w:firstLine="631"/>
        <w:rPr>
          <w:rFonts w:ascii="仿宋" w:hAnsi="仿宋" w:eastAsia="仿宋" w:cs="仿宋"/>
          <w:color w:val="auto"/>
          <w:sz w:val="32"/>
          <w:szCs w:val="32"/>
        </w:rPr>
      </w:pPr>
      <w:r>
        <w:rPr>
          <w:rFonts w:hint="eastAsia" w:ascii="楷体" w:hAnsi="楷体" w:eastAsia="楷体" w:cs="楷体"/>
          <w:color w:val="auto"/>
          <w:sz w:val="32"/>
          <w:szCs w:val="32"/>
        </w:rPr>
        <w:t>第十四条</w:t>
      </w:r>
      <w:r>
        <w:rPr>
          <w:rFonts w:hint="eastAsia" w:ascii="仿宋" w:hAnsi="仿宋" w:eastAsia="仿宋" w:cs="仿宋"/>
          <w:color w:val="auto"/>
          <w:sz w:val="32"/>
          <w:szCs w:val="32"/>
        </w:rPr>
        <w:t xml:space="preserve"> 本规划所称“经营场所”是指市场主体从事经营活动的营业场所，应当与经营范围相适应，依法取得使用权，具有合法的产权权属、使用功能及法定用途，不属于违法建设、危险建筑、被征收房屋等依法不能用作经营场所的房屋。</w:t>
      </w:r>
    </w:p>
    <w:p>
      <w:pPr>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 xml:space="preserve">第十五条 </w:t>
      </w:r>
      <w:r>
        <w:rPr>
          <w:rFonts w:hint="eastAsia" w:ascii="仿宋" w:hAnsi="仿宋" w:eastAsia="仿宋" w:cs="仿宋"/>
          <w:color w:val="auto"/>
          <w:sz w:val="32"/>
          <w:szCs w:val="32"/>
        </w:rPr>
        <w:t>本规划所称“距离”是指拟从事烟草制品零售业务经营场所与参照零售点或中小学校、幼儿园之间的步行最短距离</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rPr>
        <w:t>（距离测量时，以</w:t>
      </w:r>
      <w:r>
        <w:rPr>
          <w:rFonts w:hint="eastAsia" w:ascii="仿宋" w:hAnsi="仿宋" w:eastAsia="仿宋" w:cs="仿宋"/>
          <w:color w:val="auto"/>
          <w:kern w:val="0"/>
          <w:sz w:val="32"/>
          <w:szCs w:val="32"/>
        </w:rPr>
        <w:t>依法可通行的最短距离为标准，</w:t>
      </w:r>
      <w:r>
        <w:rPr>
          <w:rFonts w:hint="eastAsia" w:ascii="仿宋" w:hAnsi="仿宋" w:eastAsia="仿宋" w:cs="仿宋"/>
          <w:color w:val="auto"/>
          <w:sz w:val="32"/>
          <w:szCs w:val="32"/>
        </w:rPr>
        <w:t>按照</w:t>
      </w:r>
      <w:r>
        <w:rPr>
          <w:rFonts w:hint="eastAsia" w:ascii="仿宋" w:hAnsi="仿宋" w:eastAsia="仿宋" w:cs="仿宋"/>
          <w:color w:val="auto"/>
          <w:sz w:val="32"/>
          <w:szCs w:val="32"/>
          <w:shd w:val="clear" w:color="auto" w:fill="FFFFFF"/>
        </w:rPr>
        <w:t>两个参照点最近一侧的门沿进行测量，</w:t>
      </w:r>
      <w:r>
        <w:rPr>
          <w:rFonts w:hint="eastAsia" w:ascii="仿宋" w:hAnsi="仿宋" w:eastAsia="仿宋" w:cs="仿宋"/>
          <w:color w:val="auto"/>
          <w:sz w:val="32"/>
          <w:szCs w:val="32"/>
        </w:rPr>
        <w:t>不得穿越隔离护栏、护墙、花坛、花园、建筑物等设施或禁止性道路标线）。</w:t>
      </w:r>
    </w:p>
    <w:p>
      <w:pP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楷体" w:hAnsi="楷体" w:eastAsia="楷体" w:cs="楷体"/>
          <w:color w:val="auto"/>
          <w:sz w:val="32"/>
          <w:szCs w:val="32"/>
        </w:rPr>
        <w:t xml:space="preserve">第十六条 </w:t>
      </w:r>
      <w:r>
        <w:rPr>
          <w:rFonts w:hint="eastAsia" w:ascii="仿宋" w:hAnsi="仿宋" w:eastAsia="仿宋" w:cs="仿宋"/>
          <w:color w:val="auto"/>
          <w:sz w:val="32"/>
          <w:szCs w:val="32"/>
        </w:rPr>
        <w:t>本规划所称“中小学”引用《中华人民共和国未成年人保护法》的“学校”含义：指普通中小学、中等职业学校、特殊教育学校、专门学校。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特殊教育学校”：特殊教育学校是指由政府、企业事业组织、社会团体、其他社会组织及公民个人依法举办的专门对残疾儿童、少年实施义务教育的机构。（见《特殊教育学校暂行规程》，中华人民共和国教育部令，1998年12月2日颁布）。</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专门学校”：国家加强专门学校建设，对有严重不良行为的未成年人进行专门教育。专门教育是国民教育体系的组成部分，是对有严重不良行为的未成年人进行教育和矫治的重要保护处分措施。（见《中华人民共和国预防未成年人犯罪法》，自2021年6月1日起施行）。</w:t>
      </w:r>
    </w:p>
    <w:p>
      <w:pPr>
        <w:pStyle w:val="2"/>
        <w:rPr>
          <w:rFonts w:ascii="仿宋" w:hAnsi="仿宋" w:eastAsia="仿宋" w:cs="仿宋"/>
          <w:color w:val="auto"/>
          <w:sz w:val="32"/>
          <w:szCs w:val="32"/>
        </w:rPr>
      </w:pPr>
      <w:r>
        <w:rPr>
          <w:rFonts w:hint="eastAsia" w:ascii="仿宋" w:hAnsi="仿宋" w:eastAsia="仿宋" w:cs="仿宋"/>
          <w:color w:val="auto"/>
          <w:sz w:val="32"/>
          <w:szCs w:val="32"/>
        </w:rPr>
        <w:t xml:space="preserve">    宾馆酒店客房数量以相关机构认定的客房数量为准。  </w:t>
      </w:r>
    </w:p>
    <w:p>
      <w:pPr>
        <w:ind w:firstLine="631"/>
        <w:rPr>
          <w:rFonts w:ascii="仿宋" w:hAnsi="仿宋" w:eastAsia="仿宋" w:cs="仿宋"/>
          <w:color w:val="auto"/>
          <w:sz w:val="32"/>
          <w:szCs w:val="32"/>
        </w:rPr>
      </w:pPr>
      <w:r>
        <w:rPr>
          <w:rFonts w:hint="eastAsia" w:ascii="楷体" w:hAnsi="楷体" w:eastAsia="楷体" w:cs="楷体"/>
          <w:color w:val="auto"/>
          <w:sz w:val="32"/>
          <w:szCs w:val="32"/>
        </w:rPr>
        <w:t xml:space="preserve">第十七条 </w:t>
      </w:r>
      <w:r>
        <w:rPr>
          <w:rFonts w:hint="eastAsia" w:ascii="仿宋" w:hAnsi="仿宋" w:eastAsia="仿宋" w:cs="仿宋"/>
          <w:color w:val="auto"/>
          <w:sz w:val="32"/>
          <w:szCs w:val="32"/>
        </w:rPr>
        <w:t>本规划所称“幼儿园”指具有幼儿园性质的学前教育机构。</w:t>
      </w:r>
    </w:p>
    <w:p>
      <w:pP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楷体" w:hAnsi="楷体" w:eastAsia="楷体" w:cs="楷体"/>
          <w:color w:val="auto"/>
          <w:sz w:val="32"/>
          <w:szCs w:val="32"/>
        </w:rPr>
        <w:t>第十八条</w:t>
      </w:r>
      <w:r>
        <w:rPr>
          <w:rFonts w:hint="eastAsia" w:ascii="仿宋" w:hAnsi="仿宋" w:eastAsia="仿宋" w:cs="仿宋"/>
          <w:color w:val="auto"/>
          <w:sz w:val="32"/>
          <w:szCs w:val="32"/>
        </w:rPr>
        <w:t xml:space="preserve"> 本规划所称的“以内”、“以上”、“不低于”、“不得超过”均含本数。</w:t>
      </w:r>
    </w:p>
    <w:p>
      <w:pP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楷体" w:hAnsi="楷体" w:eastAsia="楷体" w:cs="楷体"/>
          <w:color w:val="auto"/>
          <w:sz w:val="32"/>
          <w:szCs w:val="32"/>
        </w:rPr>
        <w:t>第十九条</w:t>
      </w:r>
      <w:r>
        <w:rPr>
          <w:rFonts w:hint="eastAsia" w:ascii="仿宋" w:hAnsi="仿宋" w:eastAsia="仿宋" w:cs="仿宋"/>
          <w:color w:val="auto"/>
          <w:sz w:val="32"/>
          <w:szCs w:val="32"/>
        </w:rPr>
        <w:t xml:space="preserve"> 本规划由</w:t>
      </w:r>
      <w:r>
        <w:rPr>
          <w:rFonts w:hint="eastAsia" w:ascii="仿宋" w:hAnsi="仿宋" w:eastAsia="仿宋" w:cs="仿宋"/>
          <w:color w:val="auto"/>
          <w:sz w:val="32"/>
          <w:szCs w:val="32"/>
          <w:lang w:val="en-US" w:eastAsia="zh-CN"/>
        </w:rPr>
        <w:t>卢氏县</w:t>
      </w:r>
      <w:r>
        <w:rPr>
          <w:rFonts w:hint="eastAsia" w:ascii="仿宋" w:hAnsi="仿宋" w:eastAsia="仿宋" w:cs="仿宋"/>
          <w:color w:val="auto"/>
          <w:sz w:val="32"/>
          <w:szCs w:val="32"/>
        </w:rPr>
        <w:t>烟草专卖局负责解释。</w:t>
      </w:r>
    </w:p>
    <w:p>
      <w:pP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楷体" w:hAnsi="楷体" w:eastAsia="楷体" w:cs="楷体"/>
          <w:color w:val="auto"/>
          <w:sz w:val="32"/>
          <w:szCs w:val="32"/>
        </w:rPr>
        <w:t>第二十条</w:t>
      </w:r>
      <w:r>
        <w:rPr>
          <w:rFonts w:hint="eastAsia" w:ascii="仿宋" w:hAnsi="仿宋" w:eastAsia="仿宋" w:cs="仿宋"/>
          <w:color w:val="auto"/>
          <w:sz w:val="32"/>
          <w:szCs w:val="32"/>
        </w:rPr>
        <w:t xml:space="preserve"> 本规划自发布之日起实施，原</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卢氏县</w:t>
      </w:r>
      <w:r>
        <w:rPr>
          <w:rFonts w:hint="eastAsia" w:ascii="仿宋" w:hAnsi="仿宋" w:eastAsia="仿宋" w:cs="仿宋"/>
          <w:color w:val="auto"/>
          <w:sz w:val="32"/>
          <w:szCs w:val="32"/>
          <w:highlight w:val="none"/>
        </w:rPr>
        <w:t>烟草制品零售点合理布局规划》（</w:t>
      </w:r>
      <w:r>
        <w:rPr>
          <w:rFonts w:hint="eastAsia" w:ascii="仿宋_GB2312" w:hAnsi="仿宋" w:eastAsia="仿宋_GB2312" w:cs="仿宋"/>
          <w:color w:val="auto"/>
          <w:kern w:val="0"/>
          <w:sz w:val="32"/>
          <w:szCs w:val="32"/>
          <w:highlight w:val="none"/>
        </w:rPr>
        <w:t>卢烟专〔202</w:t>
      </w:r>
      <w:r>
        <w:rPr>
          <w:rFonts w:hint="eastAsia" w:ascii="仿宋_GB2312" w:hAnsi="仿宋" w:eastAsia="仿宋_GB2312" w:cs="仿宋"/>
          <w:color w:val="auto"/>
          <w:kern w:val="0"/>
          <w:sz w:val="32"/>
          <w:szCs w:val="32"/>
          <w:highlight w:val="none"/>
          <w:lang w:val="en-US" w:eastAsia="zh-CN"/>
        </w:rPr>
        <w:t>2</w:t>
      </w:r>
      <w:r>
        <w:rPr>
          <w:rFonts w:hint="eastAsia" w:ascii="仿宋_GB2312" w:hAnsi="仿宋" w:eastAsia="仿宋_GB2312" w:cs="仿宋"/>
          <w:color w:val="auto"/>
          <w:kern w:val="0"/>
          <w:sz w:val="32"/>
          <w:szCs w:val="32"/>
          <w:highlight w:val="none"/>
        </w:rPr>
        <w:t>〕</w:t>
      </w:r>
      <w:r>
        <w:rPr>
          <w:rFonts w:hint="eastAsia" w:ascii="仿宋_GB2312" w:hAnsi="仿宋" w:eastAsia="仿宋_GB2312" w:cs="仿宋"/>
          <w:color w:val="auto"/>
          <w:kern w:val="0"/>
          <w:sz w:val="32"/>
          <w:szCs w:val="32"/>
          <w:highlight w:val="none"/>
          <w:lang w:val="en-US" w:eastAsia="zh-CN"/>
        </w:rPr>
        <w:t>57</w:t>
      </w:r>
      <w:r>
        <w:rPr>
          <w:rFonts w:hint="eastAsia" w:ascii="仿宋_GB2312" w:hAnsi="仿宋" w:eastAsia="仿宋_GB2312" w:cs="仿宋"/>
          <w:color w:val="auto"/>
          <w:kern w:val="0"/>
          <w:sz w:val="32"/>
          <w:szCs w:val="32"/>
          <w:highlight w:val="none"/>
        </w:rPr>
        <w:t>号文件</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同时废止。</w:t>
      </w:r>
    </w:p>
    <w:p>
      <w:pPr>
        <w:spacing w:line="576" w:lineRule="exact"/>
        <w:ind w:firstLine="640" w:firstLineChars="200"/>
        <w:jc w:val="left"/>
        <w:rPr>
          <w:rFonts w:ascii="仿宋" w:hAnsi="仿宋" w:eastAsia="仿宋" w:cs="仿宋"/>
          <w:color w:val="auto"/>
          <w:kern w:val="0"/>
          <w:sz w:val="32"/>
          <w:szCs w:val="32"/>
          <w:shd w:val="clear" w:color="auto" w:fill="FFFFFF"/>
        </w:rPr>
      </w:pPr>
      <w:r>
        <w:rPr>
          <w:rFonts w:hint="eastAsia" w:ascii="仿宋" w:hAnsi="仿宋" w:eastAsia="仿宋" w:cs="Times New Roman"/>
          <w:color w:val="auto"/>
          <w:sz w:val="32"/>
          <w:szCs w:val="32"/>
          <w:highlight w:val="none"/>
        </w:rPr>
        <w:t xml:space="preserve"> </w:t>
      </w:r>
      <w:r>
        <w:rPr>
          <w:rFonts w:hint="eastAsia" w:ascii="仿宋" w:hAnsi="仿宋" w:eastAsia="仿宋" w:cs="仿宋"/>
          <w:color w:val="auto"/>
          <w:kern w:val="0"/>
          <w:sz w:val="32"/>
          <w:szCs w:val="32"/>
          <w:shd w:val="clear" w:color="auto" w:fill="FFFFFF"/>
        </w:rPr>
        <w:t>附件:1.</w:t>
      </w:r>
      <w:r>
        <w:rPr>
          <w:rFonts w:hint="eastAsia" w:ascii="仿宋" w:hAnsi="仿宋" w:eastAsia="仿宋" w:cs="仿宋"/>
          <w:color w:val="auto"/>
          <w:kern w:val="0"/>
          <w:sz w:val="32"/>
          <w:szCs w:val="32"/>
          <w:shd w:val="clear" w:color="auto" w:fill="FFFFFF"/>
          <w:lang w:val="en-US" w:eastAsia="zh-CN"/>
        </w:rPr>
        <w:t>卢氏县</w:t>
      </w:r>
      <w:r>
        <w:rPr>
          <w:rFonts w:hint="eastAsia" w:ascii="仿宋" w:hAnsi="仿宋" w:eastAsia="仿宋" w:cs="仿宋"/>
          <w:color w:val="auto"/>
          <w:kern w:val="0"/>
          <w:sz w:val="32"/>
          <w:szCs w:val="32"/>
          <w:shd w:val="clear" w:color="auto" w:fill="FFFFFF"/>
        </w:rPr>
        <w:t>烟草制品零售点经营场所</w:t>
      </w:r>
      <w:r>
        <w:rPr>
          <w:rFonts w:hint="eastAsia" w:ascii="仿宋" w:hAnsi="仿宋" w:eastAsia="仿宋" w:cs="仿宋"/>
          <w:color w:val="auto"/>
          <w:kern w:val="0"/>
          <w:sz w:val="32"/>
          <w:szCs w:val="32"/>
          <w:shd w:val="clear" w:color="auto" w:fill="FFFFFF"/>
          <w:lang w:val="en-US" w:eastAsia="zh-CN"/>
        </w:rPr>
        <w:t>间距测量</w:t>
      </w:r>
      <w:r>
        <w:rPr>
          <w:rFonts w:hint="eastAsia" w:ascii="仿宋" w:hAnsi="仿宋" w:eastAsia="仿宋" w:cs="仿宋"/>
          <w:color w:val="auto"/>
          <w:kern w:val="0"/>
          <w:sz w:val="32"/>
          <w:szCs w:val="32"/>
          <w:shd w:val="clear" w:color="auto" w:fill="FFFFFF"/>
        </w:rPr>
        <w:t>标准</w:t>
      </w:r>
    </w:p>
    <w:p>
      <w:pPr>
        <w:pStyle w:val="2"/>
        <w:numPr>
          <w:ilvl w:val="0"/>
          <w:numId w:val="1"/>
        </w:numPr>
        <w:spacing w:after="0" w:line="576" w:lineRule="exact"/>
        <w:ind w:left="1578" w:leftChars="0" w:firstLine="0" w:firstLineChars="0"/>
        <w:jc w:val="left"/>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val="en-US" w:eastAsia="zh-CN"/>
        </w:rPr>
        <w:t>卢氏县</w:t>
      </w:r>
      <w:r>
        <w:rPr>
          <w:rFonts w:hint="eastAsia" w:ascii="仿宋" w:hAnsi="仿宋" w:eastAsia="仿宋" w:cs="仿宋"/>
          <w:color w:val="auto"/>
          <w:kern w:val="0"/>
          <w:sz w:val="32"/>
          <w:szCs w:val="32"/>
          <w:shd w:val="clear" w:color="auto" w:fill="FFFFFF"/>
        </w:rPr>
        <w:t>市场单元布局信息目录</w:t>
      </w:r>
    </w:p>
    <w:p>
      <w:pPr>
        <w:pStyle w:val="2"/>
        <w:numPr>
          <w:ilvl w:val="0"/>
          <w:numId w:val="1"/>
        </w:numPr>
        <w:spacing w:after="0" w:line="576" w:lineRule="exact"/>
        <w:ind w:left="1578" w:leftChars="0" w:firstLine="0" w:firstLineChars="0"/>
        <w:jc w:val="left"/>
        <w:rPr>
          <w:rFonts w:hint="eastAsia" w:ascii="仿宋" w:hAnsi="仿宋" w:eastAsia="仿宋" w:cs="仿宋"/>
          <w:color w:val="auto"/>
          <w:kern w:val="0"/>
          <w:sz w:val="32"/>
          <w:szCs w:val="32"/>
          <w:shd w:val="clear" w:color="auto" w:fill="FFFFFF"/>
        </w:rPr>
      </w:pPr>
      <w:r>
        <w:rPr>
          <w:rFonts w:hint="eastAsia" w:ascii="仿宋_GB2312" w:hAnsi="仿宋" w:eastAsia="仿宋_GB2312"/>
          <w:color w:val="auto"/>
          <w:kern w:val="0"/>
          <w:sz w:val="32"/>
          <w:szCs w:val="32"/>
          <w:highlight w:val="none"/>
          <w:lang w:val="en-US" w:eastAsia="zh-CN"/>
        </w:rPr>
        <w:t>《卢氏县城区道路等级规划图》</w:t>
      </w:r>
    </w:p>
    <w:p>
      <w:pPr>
        <w:pStyle w:val="2"/>
        <w:numPr>
          <w:ilvl w:val="0"/>
          <w:numId w:val="1"/>
        </w:numPr>
        <w:spacing w:after="0" w:line="576" w:lineRule="exact"/>
        <w:ind w:left="1578" w:leftChars="0" w:firstLine="0" w:firstLineChars="0"/>
        <w:jc w:val="left"/>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rPr>
        <w:t>与烟草制品零售业务没有直接或间接互补营销关系</w:t>
      </w:r>
      <w:r>
        <w:rPr>
          <w:rFonts w:hint="eastAsia" w:ascii="仿宋" w:hAnsi="仿宋" w:eastAsia="仿宋" w:cs="仿宋"/>
          <w:color w:val="auto"/>
          <w:kern w:val="0"/>
          <w:sz w:val="32"/>
          <w:szCs w:val="32"/>
          <w:shd w:val="clear" w:color="auto" w:fill="FFFFFF"/>
          <w:lang w:val="en-US" w:eastAsia="zh-CN"/>
        </w:rPr>
        <w:t>商户名单</w:t>
      </w:r>
    </w:p>
    <w:p>
      <w:pPr>
        <w:pStyle w:val="2"/>
        <w:numPr>
          <w:ilvl w:val="0"/>
          <w:numId w:val="0"/>
        </w:numPr>
        <w:spacing w:after="0" w:line="576" w:lineRule="exact"/>
        <w:jc w:val="left"/>
        <w:rPr>
          <w:rFonts w:hint="eastAsia" w:ascii="仿宋" w:hAnsi="仿宋" w:eastAsia="仿宋" w:cs="仿宋"/>
          <w:color w:val="auto"/>
          <w:kern w:val="0"/>
          <w:sz w:val="32"/>
          <w:szCs w:val="32"/>
          <w:shd w:val="clear" w:color="auto" w:fill="FFFFFF"/>
        </w:rPr>
      </w:pPr>
    </w:p>
    <w:p>
      <w:pPr>
        <w:pStyle w:val="2"/>
        <w:spacing w:after="0" w:line="576" w:lineRule="exact"/>
        <w:ind w:firstLine="640" w:firstLineChars="200"/>
        <w:jc w:val="left"/>
        <w:rPr>
          <w:rFonts w:hint="eastAsia" w:ascii="仿宋" w:hAnsi="仿宋" w:eastAsia="仿宋" w:cs="仿宋"/>
          <w:color w:val="auto"/>
          <w:kern w:val="0"/>
          <w:sz w:val="32"/>
          <w:szCs w:val="32"/>
          <w:shd w:val="clear" w:color="auto" w:fill="FFFFFF"/>
        </w:rPr>
      </w:pPr>
    </w:p>
    <w:p>
      <w:pPr>
        <w:widowControl/>
        <w:jc w:val="left"/>
        <w:rPr>
          <w:rFonts w:ascii="黑体" w:hAnsi="黑体" w:eastAsia="黑体" w:cs="仿宋"/>
          <w:color w:val="auto"/>
          <w:sz w:val="32"/>
          <w:szCs w:val="32"/>
          <w:shd w:val="clear" w:color="auto" w:fill="FFFFFF"/>
        </w:rPr>
      </w:pPr>
      <w:r>
        <w:rPr>
          <w:rFonts w:hint="eastAsia" w:ascii="黑体" w:hAnsi="黑体" w:eastAsia="黑体" w:cs="仿宋"/>
          <w:color w:val="auto"/>
          <w:sz w:val="32"/>
          <w:szCs w:val="32"/>
          <w:shd w:val="clear" w:color="auto" w:fill="FFFFFF"/>
        </w:rPr>
        <w:br w:type="page"/>
      </w:r>
      <w:r>
        <w:rPr>
          <w:rFonts w:hint="eastAsia" w:ascii="黑体" w:hAnsi="黑体" w:eastAsia="黑体" w:cs="仿宋"/>
          <w:color w:val="auto"/>
          <w:sz w:val="32"/>
          <w:szCs w:val="32"/>
          <w:shd w:val="clear" w:color="auto" w:fill="FFFFFF"/>
        </w:rPr>
        <w:t>附件1</w:t>
      </w:r>
    </w:p>
    <w:p>
      <w:pPr>
        <w:pStyle w:val="4"/>
        <w:shd w:val="clear" w:color="auto" w:fill="FFFFFF"/>
        <w:spacing w:before="0" w:beforeAutospacing="0" w:after="0" w:afterAutospacing="0" w:line="576" w:lineRule="exact"/>
        <w:jc w:val="center"/>
        <w:rPr>
          <w:rFonts w:ascii="方正小标宋简体" w:hAnsi="仿宋" w:eastAsia="方正小标宋简体" w:cs="仿宋"/>
          <w:color w:val="auto"/>
          <w:sz w:val="44"/>
          <w:szCs w:val="44"/>
          <w:shd w:val="clear" w:color="auto" w:fill="FFFFFF"/>
        </w:rPr>
      </w:pPr>
      <w:r>
        <w:rPr>
          <w:rFonts w:hint="eastAsia" w:ascii="方正小标宋简体" w:hAnsi="仿宋" w:eastAsia="方正小标宋简体" w:cs="仿宋"/>
          <w:color w:val="auto"/>
          <w:sz w:val="44"/>
          <w:szCs w:val="44"/>
          <w:shd w:val="clear" w:color="auto" w:fill="FFFFFF"/>
          <w:lang w:val="en-US" w:eastAsia="zh-CN"/>
        </w:rPr>
        <w:t>卢氏县</w:t>
      </w:r>
      <w:r>
        <w:rPr>
          <w:rFonts w:hint="eastAsia" w:ascii="方正小标宋简体" w:hAnsi="仿宋" w:eastAsia="方正小标宋简体" w:cs="仿宋"/>
          <w:color w:val="auto"/>
          <w:sz w:val="44"/>
          <w:szCs w:val="44"/>
          <w:shd w:val="clear" w:color="auto" w:fill="FFFFFF"/>
        </w:rPr>
        <w:t>烟草制品零售点</w:t>
      </w:r>
    </w:p>
    <w:p>
      <w:pPr>
        <w:pStyle w:val="4"/>
        <w:shd w:val="clear" w:color="auto" w:fill="FFFFFF"/>
        <w:spacing w:before="0" w:beforeAutospacing="0" w:after="0" w:afterAutospacing="0" w:line="576" w:lineRule="exact"/>
        <w:jc w:val="center"/>
        <w:rPr>
          <w:rFonts w:ascii="方正小标宋简体" w:hAnsi="仿宋" w:eastAsia="方正小标宋简体" w:cs="仿宋"/>
          <w:color w:val="auto"/>
          <w:sz w:val="44"/>
          <w:szCs w:val="44"/>
          <w:shd w:val="clear" w:color="auto" w:fill="FFFFFF"/>
        </w:rPr>
      </w:pPr>
      <w:r>
        <w:rPr>
          <w:rFonts w:hint="eastAsia" w:ascii="方正小标宋简体" w:hAnsi="仿宋" w:eastAsia="方正小标宋简体" w:cs="仿宋"/>
          <w:color w:val="auto"/>
          <w:sz w:val="44"/>
          <w:szCs w:val="44"/>
          <w:shd w:val="clear" w:color="auto" w:fill="FFFFFF"/>
        </w:rPr>
        <w:t>经营场所间距测量标准</w:t>
      </w:r>
    </w:p>
    <w:p>
      <w:pPr>
        <w:spacing w:line="580" w:lineRule="exact"/>
        <w:ind w:left="640"/>
        <w:rPr>
          <w:rFonts w:ascii="仿宋" w:hAnsi="仿宋" w:eastAsia="仿宋" w:cs="仿宋"/>
          <w:color w:val="auto"/>
          <w:sz w:val="32"/>
          <w:szCs w:val="32"/>
        </w:rPr>
      </w:pP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规划》中“距离、间距”指新申请方与测量参照物之间,按“边对边”原则测量的可通行最短距离。测量参照物指周边最近的持证零售户或中小学校、幼儿园学生通勤出入口。现场核查新申请方与参照物之间的测量以“不违反交通规定、可通行最短距离”为总体原则。具体场所测量示意图如下：</w:t>
      </w:r>
    </w:p>
    <w:p>
      <w:pPr>
        <w:spacing w:line="580" w:lineRule="exact"/>
        <w:ind w:firstLine="640" w:firstLineChars="200"/>
        <w:jc w:val="left"/>
        <w:rPr>
          <w:rFonts w:hint="eastAsia" w:ascii="仿宋" w:hAnsi="仿宋" w:eastAsia="仿宋" w:cs="仿宋"/>
          <w:color w:val="auto"/>
          <w:sz w:val="32"/>
          <w:szCs w:val="32"/>
        </w:rPr>
      </w:pPr>
    </w:p>
    <w:p>
      <w:pPr>
        <w:ind w:firstLine="560" w:firstLineChars="200"/>
        <w:jc w:val="left"/>
        <w:rPr>
          <w:rFonts w:ascii="仿宋_GB2312" w:hAnsi="楷体_GB2312" w:eastAsia="仿宋_GB2312" w:cs="楷体_GB2312"/>
          <w:color w:val="auto"/>
          <w:sz w:val="28"/>
          <w:szCs w:val="28"/>
        </w:rPr>
      </w:pPr>
      <w:r>
        <w:rPr>
          <w:rFonts w:hint="eastAsia" w:ascii="仿宋_GB2312" w:hAnsi="楷体_GB2312" w:eastAsia="仿宋_GB2312" w:cs="楷体_GB2312"/>
          <w:color w:val="auto"/>
          <w:sz w:val="28"/>
          <w:szCs w:val="28"/>
        </w:rPr>
        <w:t>1.申请方和测量参照物在同一侧马路的，参照图1测量，距离=a。</w:t>
      </w:r>
    </w:p>
    <w:p>
      <w:pPr>
        <w:jc w:val="center"/>
        <w:rPr>
          <w:rFonts w:ascii="仿宋_GB2312" w:hAnsi="仿宋" w:eastAsia="仿宋_GB2312" w:cs="仿宋"/>
          <w:color w:val="auto"/>
          <w:szCs w:val="32"/>
        </w:rPr>
      </w:pPr>
      <w:r>
        <w:rPr>
          <w:rFonts w:hint="eastAsia" w:ascii="仿宋_GB2312" w:hAnsi="仿宋" w:eastAsia="仿宋_GB2312" w:cs="仿宋"/>
          <w:color w:val="auto"/>
          <w:szCs w:val="32"/>
        </w:rPr>
        <w:drawing>
          <wp:inline distT="0" distB="0" distL="114300" distR="114300">
            <wp:extent cx="4248150" cy="1333500"/>
            <wp:effectExtent l="0" t="0" r="0" b="0"/>
            <wp:docPr id="3" name="图片 1" descr="1629271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629271796(1)"/>
                    <pic:cNvPicPr>
                      <a:picLocks noChangeAspect="1"/>
                    </pic:cNvPicPr>
                  </pic:nvPicPr>
                  <pic:blipFill>
                    <a:blip r:embed="rId4"/>
                    <a:stretch>
                      <a:fillRect/>
                    </a:stretch>
                  </pic:blipFill>
                  <pic:spPr>
                    <a:xfrm>
                      <a:off x="0" y="0"/>
                      <a:ext cx="4248150" cy="1333500"/>
                    </a:xfrm>
                    <a:prstGeom prst="rect">
                      <a:avLst/>
                    </a:prstGeom>
                    <a:noFill/>
                    <a:ln>
                      <a:noFill/>
                    </a:ln>
                  </pic:spPr>
                </pic:pic>
              </a:graphicData>
            </a:graphic>
          </wp:inline>
        </w:drawing>
      </w:r>
    </w:p>
    <w:p>
      <w:pPr>
        <w:ind w:firstLine="640" w:firstLineChars="200"/>
        <w:jc w:val="left"/>
        <w:rPr>
          <w:rFonts w:ascii="仿宋_GB2312" w:hAnsi="楷体_GB2312" w:eastAsia="仿宋_GB2312" w:cs="楷体_GB2312"/>
          <w:color w:val="auto"/>
          <w:sz w:val="32"/>
          <w:szCs w:val="32"/>
        </w:rPr>
      </w:pPr>
      <w:r>
        <w:rPr>
          <w:rFonts w:hint="eastAsia" w:ascii="仿宋_GB2312" w:hAnsi="楷体_GB2312" w:eastAsia="仿宋_GB2312" w:cs="楷体_GB2312"/>
          <w:color w:val="auto"/>
          <w:sz w:val="32"/>
          <w:szCs w:val="32"/>
        </w:rPr>
        <w:t>2.申请方和测量参照物在马路两侧，马路中间设有隔离带的，从隔离带最近开口处作为测量通道,参照图2测量，距离=a+b+c。</w:t>
      </w:r>
    </w:p>
    <w:p>
      <w:pPr>
        <w:jc w:val="center"/>
        <w:rPr>
          <w:rFonts w:ascii="仿宋_GB2312" w:hAnsi="仿宋" w:eastAsia="仿宋_GB2312" w:cs="仿宋"/>
          <w:color w:val="auto"/>
          <w:sz w:val="32"/>
          <w:szCs w:val="32"/>
        </w:rPr>
      </w:pPr>
      <w:r>
        <w:rPr>
          <w:rFonts w:hint="eastAsia" w:ascii="仿宋_GB2312" w:hAnsi="仿宋" w:eastAsia="仿宋_GB2312" w:cs="仿宋"/>
          <w:color w:val="auto"/>
          <w:sz w:val="32"/>
          <w:szCs w:val="32"/>
        </w:rPr>
        <w:drawing>
          <wp:inline distT="0" distB="0" distL="114300" distR="114300">
            <wp:extent cx="3419475" cy="3162300"/>
            <wp:effectExtent l="0" t="0" r="9525" b="0"/>
            <wp:docPr id="4" name="图片 2" descr="1629271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629271936(1)"/>
                    <pic:cNvPicPr>
                      <a:picLocks noChangeAspect="1"/>
                    </pic:cNvPicPr>
                  </pic:nvPicPr>
                  <pic:blipFill>
                    <a:blip r:embed="rId5"/>
                    <a:stretch>
                      <a:fillRect/>
                    </a:stretch>
                  </pic:blipFill>
                  <pic:spPr>
                    <a:xfrm>
                      <a:off x="0" y="0"/>
                      <a:ext cx="3419475" cy="3162300"/>
                    </a:xfrm>
                    <a:prstGeom prst="rect">
                      <a:avLst/>
                    </a:prstGeom>
                    <a:noFill/>
                    <a:ln>
                      <a:noFill/>
                    </a:ln>
                  </pic:spPr>
                </pic:pic>
              </a:graphicData>
            </a:graphic>
          </wp:inline>
        </w:drawing>
      </w:r>
    </w:p>
    <w:p>
      <w:pPr>
        <w:ind w:firstLine="640" w:firstLineChars="200"/>
        <w:jc w:val="left"/>
        <w:rPr>
          <w:rFonts w:ascii="仿宋_GB2312" w:hAnsi="楷体_GB2312" w:eastAsia="仿宋_GB2312" w:cs="楷体_GB2312"/>
          <w:color w:val="auto"/>
          <w:sz w:val="32"/>
          <w:szCs w:val="32"/>
        </w:rPr>
      </w:pPr>
      <w:r>
        <w:rPr>
          <w:rFonts w:hint="eastAsia" w:ascii="仿宋_GB2312" w:hAnsi="楷体_GB2312" w:eastAsia="仿宋_GB2312" w:cs="楷体_GB2312"/>
          <w:color w:val="auto"/>
          <w:sz w:val="32"/>
          <w:szCs w:val="32"/>
        </w:rPr>
        <w:t>3.申请方和测量参照物在马路两侧，马路中间没有隔离带但是有斑马线的，参照图3测量，距离=a+b+c。</w:t>
      </w:r>
    </w:p>
    <w:p>
      <w:pPr>
        <w:jc w:val="center"/>
        <w:rPr>
          <w:rFonts w:ascii="仿宋_GB2312" w:hAnsi="仿宋" w:eastAsia="仿宋_GB2312" w:cs="仿宋"/>
          <w:color w:val="auto"/>
          <w:sz w:val="32"/>
          <w:szCs w:val="32"/>
        </w:rPr>
      </w:pPr>
      <w:r>
        <w:rPr>
          <w:rFonts w:hint="eastAsia" w:ascii="仿宋_GB2312" w:hAnsi="仿宋" w:eastAsia="仿宋_GB2312" w:cs="仿宋"/>
          <w:color w:val="auto"/>
          <w:sz w:val="32"/>
          <w:szCs w:val="32"/>
        </w:rPr>
        <w:drawing>
          <wp:inline distT="0" distB="0" distL="114300" distR="114300">
            <wp:extent cx="2933700" cy="2686050"/>
            <wp:effectExtent l="0" t="0" r="0" b="0"/>
            <wp:docPr id="1" name="图片 3" descr="1629272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629272024(1)"/>
                    <pic:cNvPicPr>
                      <a:picLocks noChangeAspect="1"/>
                    </pic:cNvPicPr>
                  </pic:nvPicPr>
                  <pic:blipFill>
                    <a:blip r:embed="rId6"/>
                    <a:stretch>
                      <a:fillRect/>
                    </a:stretch>
                  </pic:blipFill>
                  <pic:spPr>
                    <a:xfrm>
                      <a:off x="0" y="0"/>
                      <a:ext cx="2933700" cy="2686050"/>
                    </a:xfrm>
                    <a:prstGeom prst="rect">
                      <a:avLst/>
                    </a:prstGeom>
                    <a:noFill/>
                    <a:ln>
                      <a:noFill/>
                    </a:ln>
                  </pic:spPr>
                </pic:pic>
              </a:graphicData>
            </a:graphic>
          </wp:inline>
        </w:drawing>
      </w:r>
    </w:p>
    <w:p>
      <w:pPr>
        <w:ind w:firstLine="640" w:firstLineChars="200"/>
        <w:jc w:val="left"/>
        <w:rPr>
          <w:rFonts w:ascii="仿宋_GB2312" w:hAnsi="楷体_GB2312" w:eastAsia="仿宋_GB2312" w:cs="楷体_GB2312"/>
          <w:color w:val="auto"/>
          <w:sz w:val="32"/>
          <w:szCs w:val="32"/>
        </w:rPr>
      </w:pPr>
      <w:r>
        <w:rPr>
          <w:rFonts w:hint="eastAsia" w:ascii="仿宋_GB2312" w:hAnsi="楷体_GB2312" w:eastAsia="仿宋_GB2312" w:cs="楷体_GB2312"/>
          <w:color w:val="auto"/>
          <w:sz w:val="32"/>
          <w:szCs w:val="32"/>
        </w:rPr>
        <w:t>4.申请方和测量参照物在马路两侧，马路中间没有斑马线或者隔离带的，参照图4测量，距离=a。</w:t>
      </w:r>
    </w:p>
    <w:p>
      <w:pPr>
        <w:jc w:val="center"/>
        <w:rPr>
          <w:rFonts w:ascii="仿宋_GB2312" w:hAnsi="仿宋" w:eastAsia="仿宋_GB2312" w:cs="仿宋"/>
          <w:color w:val="auto"/>
          <w:sz w:val="32"/>
          <w:szCs w:val="32"/>
        </w:rPr>
      </w:pPr>
      <w:r>
        <w:rPr>
          <w:rFonts w:hint="eastAsia" w:ascii="仿宋_GB2312" w:hAnsi="仿宋" w:eastAsia="仿宋_GB2312" w:cs="仿宋"/>
          <w:color w:val="auto"/>
          <w:sz w:val="32"/>
          <w:szCs w:val="32"/>
        </w:rPr>
        <w:drawing>
          <wp:inline distT="0" distB="0" distL="114300" distR="114300">
            <wp:extent cx="3152775" cy="2667000"/>
            <wp:effectExtent l="0" t="0" r="9525" b="0"/>
            <wp:docPr id="6" name="图片 4" descr="1629272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629272084(1)"/>
                    <pic:cNvPicPr>
                      <a:picLocks noChangeAspect="1"/>
                    </pic:cNvPicPr>
                  </pic:nvPicPr>
                  <pic:blipFill>
                    <a:blip r:embed="rId7"/>
                    <a:stretch>
                      <a:fillRect/>
                    </a:stretch>
                  </pic:blipFill>
                  <pic:spPr>
                    <a:xfrm>
                      <a:off x="0" y="0"/>
                      <a:ext cx="3152775" cy="2667000"/>
                    </a:xfrm>
                    <a:prstGeom prst="rect">
                      <a:avLst/>
                    </a:prstGeom>
                    <a:noFill/>
                    <a:ln>
                      <a:noFill/>
                    </a:ln>
                  </pic:spPr>
                </pic:pic>
              </a:graphicData>
            </a:graphic>
          </wp:inline>
        </w:drawing>
      </w:r>
    </w:p>
    <w:p>
      <w:pPr>
        <w:jc w:val="center"/>
        <w:rPr>
          <w:rFonts w:ascii="仿宋_GB2312" w:hAnsi="仿宋" w:eastAsia="仿宋_GB2312" w:cs="仿宋"/>
          <w:color w:val="auto"/>
          <w:sz w:val="32"/>
          <w:szCs w:val="32"/>
        </w:rPr>
      </w:pPr>
    </w:p>
    <w:p>
      <w:pPr>
        <w:ind w:firstLine="640" w:firstLineChars="200"/>
        <w:jc w:val="left"/>
        <w:rPr>
          <w:rFonts w:ascii="仿宋_GB2312" w:hAnsi="楷体_GB2312" w:eastAsia="仿宋_GB2312" w:cs="楷体_GB2312"/>
          <w:color w:val="auto"/>
          <w:sz w:val="32"/>
          <w:szCs w:val="32"/>
        </w:rPr>
      </w:pPr>
      <w:r>
        <w:rPr>
          <w:rFonts w:hint="eastAsia" w:ascii="仿宋_GB2312" w:hAnsi="楷体_GB2312" w:eastAsia="仿宋_GB2312" w:cs="楷体_GB2312"/>
          <w:color w:val="auto"/>
          <w:sz w:val="32"/>
          <w:szCs w:val="32"/>
        </w:rPr>
        <w:t>5.申请方和测量参照物处于马路拐角位置，参照图5测量，距离=a+b。</w:t>
      </w:r>
    </w:p>
    <w:p>
      <w:pPr>
        <w:jc w:val="center"/>
        <w:rPr>
          <w:rFonts w:ascii="仿宋_GB2312" w:hAnsi="宋体" w:eastAsia="仿宋_GB2312"/>
          <w:color w:val="auto"/>
          <w:sz w:val="32"/>
          <w:szCs w:val="32"/>
        </w:rPr>
      </w:pPr>
      <w:r>
        <w:rPr>
          <w:rFonts w:hint="eastAsia" w:ascii="仿宋_GB2312" w:hAnsi="仿宋" w:eastAsia="仿宋_GB2312" w:cs="仿宋"/>
          <w:color w:val="auto"/>
          <w:sz w:val="32"/>
          <w:szCs w:val="32"/>
        </w:rPr>
        <w:drawing>
          <wp:inline distT="0" distB="0" distL="114300" distR="114300">
            <wp:extent cx="3133725" cy="3343275"/>
            <wp:effectExtent l="0" t="0" r="9525" b="9525"/>
            <wp:docPr id="5" name="图片 5" descr="1629272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29272184(1)"/>
                    <pic:cNvPicPr>
                      <a:picLocks noChangeAspect="1"/>
                    </pic:cNvPicPr>
                  </pic:nvPicPr>
                  <pic:blipFill>
                    <a:blip r:embed="rId8"/>
                    <a:stretch>
                      <a:fillRect/>
                    </a:stretch>
                  </pic:blipFill>
                  <pic:spPr>
                    <a:xfrm>
                      <a:off x="0" y="0"/>
                      <a:ext cx="3133725" cy="3343275"/>
                    </a:xfrm>
                    <a:prstGeom prst="rect">
                      <a:avLst/>
                    </a:prstGeom>
                    <a:noFill/>
                    <a:ln>
                      <a:noFill/>
                    </a:ln>
                  </pic:spPr>
                </pic:pic>
              </a:graphicData>
            </a:graphic>
          </wp:inline>
        </w:drawing>
      </w:r>
    </w:p>
    <w:p>
      <w:pPr>
        <w:widowControl/>
        <w:spacing w:line="480" w:lineRule="exact"/>
        <w:ind w:firstLine="640" w:firstLineChars="200"/>
        <w:rPr>
          <w:rFonts w:hint="eastAsia" w:ascii="仿宋_GB2312" w:hAnsi="宋体" w:eastAsia="仿宋_GB2312"/>
          <w:color w:val="auto"/>
          <w:sz w:val="32"/>
          <w:szCs w:val="32"/>
        </w:rPr>
      </w:pPr>
      <w:r>
        <w:rPr>
          <w:rFonts w:hint="eastAsia" w:ascii="仿宋_GB2312" w:eastAsia="仿宋_GB2312"/>
          <w:color w:val="auto"/>
          <w:kern w:val="0"/>
          <w:sz w:val="32"/>
          <w:szCs w:val="32"/>
          <w:lang w:eastAsia="zh-CN"/>
        </w:rPr>
        <w:t>二</w:t>
      </w:r>
      <w:r>
        <w:rPr>
          <w:rFonts w:hint="eastAsia" w:ascii="仿宋_GB2312" w:eastAsia="仿宋_GB2312"/>
          <w:color w:val="auto"/>
          <w:kern w:val="0"/>
          <w:sz w:val="32"/>
          <w:szCs w:val="32"/>
        </w:rPr>
        <w:t>、本测量办法由</w:t>
      </w:r>
      <w:r>
        <w:rPr>
          <w:rFonts w:hint="eastAsia" w:ascii="仿宋_GB2312" w:eastAsia="仿宋_GB2312"/>
          <w:color w:val="auto"/>
          <w:kern w:val="0"/>
          <w:sz w:val="32"/>
          <w:szCs w:val="32"/>
          <w:lang w:val="en-US" w:eastAsia="zh-CN"/>
        </w:rPr>
        <w:t>卢氏县</w:t>
      </w:r>
      <w:r>
        <w:rPr>
          <w:rFonts w:hint="eastAsia" w:ascii="仿宋_GB2312" w:eastAsia="仿宋_GB2312"/>
          <w:color w:val="auto"/>
          <w:kern w:val="0"/>
          <w:sz w:val="32"/>
          <w:szCs w:val="32"/>
        </w:rPr>
        <w:t>烟草专卖局负责解释。如遇本办法未明确测量方法的特殊情形时，其测量方法由</w:t>
      </w:r>
      <w:r>
        <w:rPr>
          <w:rFonts w:hint="eastAsia" w:ascii="仿宋_GB2312" w:eastAsia="仿宋_GB2312"/>
          <w:color w:val="auto"/>
          <w:kern w:val="0"/>
          <w:sz w:val="32"/>
          <w:szCs w:val="32"/>
          <w:lang w:val="en-US" w:eastAsia="zh-CN"/>
        </w:rPr>
        <w:t>卢氏县</w:t>
      </w:r>
      <w:r>
        <w:rPr>
          <w:rFonts w:hint="eastAsia" w:ascii="仿宋_GB2312" w:eastAsia="仿宋_GB2312"/>
          <w:color w:val="auto"/>
          <w:kern w:val="0"/>
          <w:sz w:val="32"/>
          <w:szCs w:val="32"/>
        </w:rPr>
        <w:t>烟草专卖局确定。</w:t>
      </w:r>
    </w:p>
    <w:p>
      <w:pPr>
        <w:spacing w:line="576" w:lineRule="exact"/>
        <w:ind w:firstLine="640" w:firstLineChars="200"/>
        <w:rPr>
          <w:rFonts w:ascii="仿宋" w:hAnsi="仿宋" w:eastAsia="仿宋"/>
          <w:color w:val="auto"/>
          <w:kern w:val="0"/>
          <w:sz w:val="32"/>
          <w:szCs w:val="32"/>
        </w:rPr>
      </w:pPr>
    </w:p>
    <w:p>
      <w:pPr>
        <w:widowControl/>
        <w:jc w:val="left"/>
        <w:rPr>
          <w:rFonts w:ascii="黑体" w:hAnsi="黑体" w:eastAsia="黑体" w:cs="仿宋"/>
          <w:color w:val="auto"/>
          <w:sz w:val="32"/>
          <w:szCs w:val="32"/>
          <w:shd w:val="clear" w:color="auto" w:fill="FFFFFF"/>
        </w:rPr>
      </w:pPr>
      <w:r>
        <w:rPr>
          <w:rFonts w:ascii="仿宋" w:hAnsi="仿宋" w:eastAsia="仿宋"/>
          <w:color w:val="auto"/>
          <w:kern w:val="0"/>
          <w:sz w:val="32"/>
          <w:szCs w:val="32"/>
        </w:rPr>
        <w:br w:type="page"/>
      </w:r>
      <w:r>
        <w:rPr>
          <w:rFonts w:hint="eastAsia" w:ascii="黑体" w:hAnsi="黑体" w:eastAsia="黑体" w:cs="仿宋"/>
          <w:color w:val="auto"/>
          <w:sz w:val="32"/>
          <w:szCs w:val="32"/>
          <w:shd w:val="clear" w:color="auto" w:fill="FFFFFF"/>
        </w:rPr>
        <w:t>附件2</w:t>
      </w:r>
    </w:p>
    <w:tbl>
      <w:tblPr>
        <w:tblStyle w:val="6"/>
        <w:tblW w:w="8925" w:type="dxa"/>
        <w:tblInd w:w="93" w:type="dxa"/>
        <w:tblLayout w:type="autofit"/>
        <w:tblCellMar>
          <w:top w:w="0" w:type="dxa"/>
          <w:left w:w="108" w:type="dxa"/>
          <w:bottom w:w="0" w:type="dxa"/>
          <w:right w:w="108" w:type="dxa"/>
        </w:tblCellMar>
      </w:tblPr>
      <w:tblGrid>
        <w:gridCol w:w="8925"/>
      </w:tblGrid>
      <w:tr>
        <w:tblPrEx>
          <w:tblCellMar>
            <w:top w:w="0" w:type="dxa"/>
            <w:left w:w="108" w:type="dxa"/>
            <w:bottom w:w="0" w:type="dxa"/>
            <w:right w:w="108" w:type="dxa"/>
          </w:tblCellMar>
        </w:tblPrEx>
        <w:trPr>
          <w:trHeight w:val="1020" w:hRule="atLeast"/>
        </w:trPr>
        <w:tc>
          <w:tcPr>
            <w:tcW w:w="8925" w:type="dxa"/>
            <w:tcBorders>
              <w:top w:val="nil"/>
              <w:left w:val="nil"/>
              <w:bottom w:val="nil"/>
              <w:right w:val="nil"/>
            </w:tcBorders>
            <w:noWrap/>
            <w:vAlign w:val="center"/>
          </w:tcPr>
          <w:p>
            <w:pPr>
              <w:widowControl/>
              <w:spacing w:line="700" w:lineRule="exact"/>
              <w:jc w:val="center"/>
              <w:textAlignment w:val="center"/>
              <w:rPr>
                <w:rFonts w:ascii="方正小标宋简体" w:hAnsi="宋体" w:eastAsia="方正小标宋简体" w:cs="宋体"/>
                <w:bCs/>
                <w:color w:val="auto"/>
                <w:kern w:val="0"/>
                <w:sz w:val="44"/>
                <w:szCs w:val="44"/>
              </w:rPr>
            </w:pPr>
            <w:r>
              <w:rPr>
                <w:rFonts w:hint="eastAsia" w:ascii="方正小标宋简体" w:hAnsi="宋体" w:eastAsia="方正小标宋简体" w:cs="宋体"/>
                <w:bCs/>
                <w:color w:val="auto"/>
                <w:kern w:val="0"/>
                <w:sz w:val="44"/>
                <w:szCs w:val="44"/>
                <w:lang w:val="en-US" w:eastAsia="zh-CN"/>
              </w:rPr>
              <w:t>卢氏县</w:t>
            </w:r>
            <w:r>
              <w:rPr>
                <w:rFonts w:hint="eastAsia" w:ascii="方正小标宋简体" w:hAnsi="宋体" w:eastAsia="方正小标宋简体" w:cs="宋体"/>
                <w:bCs/>
                <w:color w:val="auto"/>
                <w:kern w:val="0"/>
                <w:sz w:val="44"/>
                <w:szCs w:val="44"/>
              </w:rPr>
              <w:t>市场单元布局信息目录</w:t>
            </w:r>
          </w:p>
        </w:tc>
      </w:tr>
      <w:bookmarkEnd w:id="0"/>
    </w:tbl>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tbl>
      <w:tblPr>
        <w:tblStyle w:val="7"/>
        <w:tblpPr w:leftFromText="180" w:rightFromText="180" w:vertAnchor="text" w:horzAnchor="page" w:tblpX="1800" w:tblpY="6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1062"/>
        <w:gridCol w:w="1271"/>
        <w:gridCol w:w="3971"/>
        <w:gridCol w:w="1156"/>
      </w:tblGrid>
      <w:tr>
        <w:tblPrEx>
          <w:tblCellMar>
            <w:top w:w="0" w:type="dxa"/>
            <w:left w:w="108" w:type="dxa"/>
            <w:bottom w:w="0" w:type="dxa"/>
            <w:right w:w="108" w:type="dxa"/>
          </w:tblCellMar>
        </w:tblPrEx>
        <w:tc>
          <w:tcPr>
            <w:tcW w:w="1118"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序号</w:t>
            </w:r>
          </w:p>
        </w:tc>
        <w:tc>
          <w:tcPr>
            <w:tcW w:w="1118"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区域</w:t>
            </w:r>
          </w:p>
        </w:tc>
        <w:tc>
          <w:tcPr>
            <w:tcW w:w="1347"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单元格名称</w:t>
            </w:r>
          </w:p>
        </w:tc>
        <w:tc>
          <w:tcPr>
            <w:tcW w:w="4253"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单元格边界</w:t>
            </w:r>
          </w:p>
        </w:tc>
        <w:tc>
          <w:tcPr>
            <w:tcW w:w="1221"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单元格容量数量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b w:val="0"/>
                <w:bCs/>
                <w:i w:val="0"/>
                <w:iCs w:val="0"/>
                <w:color w:val="auto"/>
                <w:kern w:val="0"/>
                <w:sz w:val="24"/>
                <w:szCs w:val="24"/>
                <w:highlight w:val="none"/>
                <w:u w:val="none"/>
                <w:lang w:val="en-US" w:eastAsia="zh-CN" w:bidi="ar"/>
              </w:rPr>
            </w:pPr>
            <w:r>
              <w:rPr>
                <w:rFonts w:hint="eastAsia" w:ascii="仿宋" w:hAnsi="仿宋" w:eastAsia="仿宋" w:cs="仿宋"/>
                <w:b w:val="0"/>
                <w:bCs/>
                <w:i w:val="0"/>
                <w:iCs w:val="0"/>
                <w:color w:val="auto"/>
                <w:kern w:val="0"/>
                <w:sz w:val="24"/>
                <w:szCs w:val="24"/>
                <w:highlight w:val="none"/>
                <w:u w:val="none"/>
                <w:lang w:val="en-US" w:eastAsia="zh-CN" w:bidi="ar"/>
              </w:rPr>
              <w:t>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横涧乡</w:t>
            </w:r>
          </w:p>
        </w:tc>
        <w:tc>
          <w:tcPr>
            <w:tcW w:w="134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岗台</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kern w:val="2"/>
                <w:sz w:val="24"/>
                <w:szCs w:val="24"/>
                <w:highlight w:val="none"/>
                <w:vertAlign w:val="baseline"/>
                <w:lang w:val="en-US" w:eastAsia="zh-CN" w:bidi="ar-SA"/>
              </w:rPr>
              <w:t>照村、衙前村、雷家村、代家村、大村、薛家沟村</w:t>
            </w:r>
          </w:p>
        </w:tc>
        <w:tc>
          <w:tcPr>
            <w:tcW w:w="1221"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w:t>
            </w:r>
          </w:p>
        </w:tc>
        <w:tc>
          <w:tcPr>
            <w:tcW w:w="1118"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横涧乡</w:t>
            </w:r>
          </w:p>
        </w:tc>
        <w:tc>
          <w:tcPr>
            <w:tcW w:w="134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兴贤里</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青山村、马庄村、马窑村、大干村、营子村、兴贤里社区</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w:t>
            </w:r>
          </w:p>
        </w:tc>
        <w:tc>
          <w:tcPr>
            <w:tcW w:w="1118"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横涧乡</w:t>
            </w:r>
          </w:p>
        </w:tc>
        <w:tc>
          <w:tcPr>
            <w:tcW w:w="134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横涧</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梅苑新村、横涧村、寺上村、董家村、陈家堎村、淤泥河村、下柳村、七寸村、熊耳村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b w:val="0"/>
                <w:bCs/>
                <w:i w:val="0"/>
                <w:iCs w:val="0"/>
                <w:color w:val="auto"/>
                <w:kern w:val="0"/>
                <w:sz w:val="24"/>
                <w:szCs w:val="24"/>
                <w:highlight w:val="none"/>
                <w:u w:val="none"/>
                <w:lang w:val="en-US" w:eastAsia="zh-CN" w:bidi="ar"/>
              </w:rPr>
            </w:pPr>
            <w:r>
              <w:rPr>
                <w:rFonts w:hint="eastAsia" w:ascii="仿宋" w:hAnsi="仿宋" w:eastAsia="仿宋" w:cs="仿宋"/>
                <w:b w:val="0"/>
                <w:bCs/>
                <w:i w:val="0"/>
                <w:iCs w:val="0"/>
                <w:color w:val="auto"/>
                <w:kern w:val="0"/>
                <w:sz w:val="24"/>
                <w:szCs w:val="24"/>
                <w:highlight w:val="none"/>
                <w:u w:val="none"/>
                <w:lang w:val="en-US" w:eastAsia="zh-CN" w:bidi="ar"/>
              </w:rPr>
              <w:t>4</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潘河乡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潘河</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潘河家园社区、潘河村、下河村、上川村、砖楼村、山岔村、黄叶村、岗头村、梅家村、阳坡村、前坪村、清河村、冠云村、两河村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b w:val="0"/>
                <w:bCs/>
                <w:i w:val="0"/>
                <w:iCs w:val="0"/>
                <w:color w:val="auto"/>
                <w:kern w:val="0"/>
                <w:sz w:val="24"/>
                <w:szCs w:val="24"/>
                <w:highlight w:val="none"/>
                <w:u w:val="none"/>
                <w:lang w:val="en-US" w:eastAsia="zh-CN" w:bidi="ar"/>
              </w:rPr>
            </w:pPr>
            <w:r>
              <w:rPr>
                <w:rFonts w:hint="eastAsia" w:ascii="仿宋" w:hAnsi="仿宋" w:eastAsia="仿宋" w:cs="仿宋"/>
                <w:b w:val="0"/>
                <w:bCs/>
                <w:i w:val="0"/>
                <w:iCs w:val="0"/>
                <w:color w:val="auto"/>
                <w:kern w:val="0"/>
                <w:sz w:val="24"/>
                <w:szCs w:val="24"/>
                <w:highlight w:val="none"/>
                <w:u w:val="none"/>
                <w:lang w:val="en-US" w:eastAsia="zh-CN" w:bidi="ar"/>
              </w:rPr>
              <w:t>5</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木桐乡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木桐</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木桐村、张家村、拐峪村、三关村、河口街村、灵神村、鸟桥村、夜长坪村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b w:val="0"/>
                <w:bCs/>
                <w:i w:val="0"/>
                <w:iCs w:val="0"/>
                <w:color w:val="auto"/>
                <w:kern w:val="0"/>
                <w:sz w:val="24"/>
                <w:szCs w:val="24"/>
                <w:highlight w:val="none"/>
                <w:u w:val="none"/>
                <w:lang w:val="en-US" w:eastAsia="zh-CN" w:bidi="ar"/>
              </w:rPr>
            </w:pPr>
            <w:r>
              <w:rPr>
                <w:rFonts w:hint="eastAsia" w:ascii="仿宋" w:hAnsi="仿宋" w:eastAsia="仿宋" w:cs="仿宋"/>
                <w:b w:val="0"/>
                <w:bCs/>
                <w:i w:val="0"/>
                <w:iCs w:val="0"/>
                <w:color w:val="auto"/>
                <w:kern w:val="0"/>
                <w:sz w:val="24"/>
                <w:szCs w:val="24"/>
                <w:highlight w:val="none"/>
                <w:u w:val="none"/>
                <w:lang w:val="en-US" w:eastAsia="zh-CN" w:bidi="ar"/>
              </w:rPr>
              <w:t>6</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徐家湾乡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徐家湾</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洛韵佳苑社区、徐家湾村、丰太村、石断河村、桐木沟村、鳌家村、河洛村、凤凰湾村、幸福村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7</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沙河乡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沙河</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沙河村、张家村、杨家村、留书村、三角村、周家村、大王村、寨子湾村、果角村、颜东村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b w:val="0"/>
                <w:bCs/>
                <w:i w:val="0"/>
                <w:iCs w:val="0"/>
                <w:color w:val="auto"/>
                <w:kern w:val="0"/>
                <w:sz w:val="24"/>
                <w:szCs w:val="24"/>
                <w:highlight w:val="none"/>
                <w:u w:val="none"/>
                <w:lang w:val="en-US" w:eastAsia="zh-CN" w:bidi="ar"/>
              </w:rPr>
            </w:pPr>
            <w:r>
              <w:rPr>
                <w:rFonts w:hint="eastAsia" w:ascii="仿宋" w:hAnsi="仿宋" w:eastAsia="仿宋" w:cs="仿宋"/>
                <w:b w:val="0"/>
                <w:bCs/>
                <w:i w:val="0"/>
                <w:iCs w:val="0"/>
                <w:color w:val="auto"/>
                <w:kern w:val="0"/>
                <w:sz w:val="24"/>
                <w:szCs w:val="24"/>
                <w:highlight w:val="none"/>
                <w:u w:val="none"/>
                <w:lang w:val="en-US" w:eastAsia="zh-CN" w:bidi="ar"/>
              </w:rPr>
              <w:t>8</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双龙湾镇</w:t>
            </w:r>
          </w:p>
        </w:tc>
        <w:tc>
          <w:tcPr>
            <w:tcW w:w="1347"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龙驹</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蚂蚁岭村、龙驹村、前虎峪村、后虎峪村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jc w:val="center"/>
              <w:rPr>
                <w:rFonts w:hint="default" w:ascii="仿宋" w:hAnsi="仿宋" w:eastAsia="仿宋" w:cs="仿宋"/>
                <w:b w:val="0"/>
                <w:bCs/>
                <w:i w:val="0"/>
                <w:iCs w:val="0"/>
                <w:color w:val="auto"/>
                <w:kern w:val="0"/>
                <w:sz w:val="24"/>
                <w:szCs w:val="24"/>
                <w:highlight w:val="none"/>
                <w:u w:val="none"/>
                <w:lang w:val="en-US" w:eastAsia="zh-CN" w:bidi="ar"/>
              </w:rPr>
            </w:pPr>
            <w:r>
              <w:rPr>
                <w:rFonts w:hint="eastAsia" w:ascii="仿宋" w:hAnsi="仿宋" w:eastAsia="仿宋" w:cs="仿宋"/>
                <w:b w:val="0"/>
                <w:bCs/>
                <w:i w:val="0"/>
                <w:iCs w:val="0"/>
                <w:color w:val="auto"/>
                <w:kern w:val="0"/>
                <w:sz w:val="24"/>
                <w:szCs w:val="24"/>
                <w:highlight w:val="none"/>
                <w:u w:val="none"/>
                <w:lang w:val="en-US" w:eastAsia="zh-CN" w:bidi="ar"/>
              </w:rPr>
              <w:t>9</w:t>
            </w:r>
          </w:p>
        </w:tc>
        <w:tc>
          <w:tcPr>
            <w:tcW w:w="1118"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i w:val="0"/>
                <w:iCs w:val="0"/>
                <w:color w:val="auto"/>
                <w:kern w:val="0"/>
                <w:sz w:val="24"/>
                <w:szCs w:val="24"/>
                <w:highlight w:val="none"/>
                <w:u w:val="none"/>
                <w:lang w:val="en-US" w:eastAsia="zh-CN" w:bidi="ar"/>
              </w:rPr>
              <w:t>双龙湾镇</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磨口</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双龙社区、磨沟口村、久富村、曲里村、东虎岭村、西虎岭村、上店街村、河东村、莲花村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10</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狮子坪乡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狮子坪乡</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狮子坪村、下庄科村、颜子河村、花园寺村、钱庄村、柳树湾村、黄柏沟村、毛河村、大河沟村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11</w:t>
            </w:r>
          </w:p>
        </w:tc>
        <w:tc>
          <w:tcPr>
            <w:tcW w:w="1118"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五里川镇</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五里川镇毛坪村</w:t>
            </w:r>
          </w:p>
        </w:tc>
        <w:tc>
          <w:tcPr>
            <w:tcW w:w="4253"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2"/>
                <w:szCs w:val="22"/>
                <w:u w:val="none"/>
                <w:lang w:val="en-US" w:eastAsia="zh-CN" w:bidi="ar-SA"/>
              </w:rPr>
            </w:pPr>
            <w:r>
              <w:rPr>
                <w:rFonts w:hint="eastAsia" w:ascii="仿宋" w:hAnsi="仿宋" w:eastAsia="仿宋" w:cs="仿宋"/>
                <w:b w:val="0"/>
                <w:bCs/>
                <w:color w:val="auto"/>
                <w:kern w:val="2"/>
                <w:sz w:val="24"/>
                <w:szCs w:val="24"/>
                <w:highlight w:val="none"/>
                <w:vertAlign w:val="baseline"/>
                <w:lang w:val="en-US" w:eastAsia="zh-CN" w:bidi="ar-SA"/>
              </w:rPr>
              <w:t>毛坪村、马连村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12</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lang w:val="en-US" w:eastAsia="zh-CN"/>
              </w:rPr>
              <w:t>五里川镇</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五里川镇长征纪念碑</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靖华园居委会、五里川村、南峪沟村、黄耀沟村、河南村、路沟村、渔塘沟村、北李村、石煤村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13</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朱阳关镇</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民国小镇</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朝阳社区、河南村、王店村、涧北沟村、大鲵湾村、朱阳关村、岭东村、杜店村、鹳河村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14</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官坡镇</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官坡庙台</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庙台村、竹园村、蔡家沟村、白花村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15</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官坡镇</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官坡街</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官坡村、河湾新区、沟口村、沙沟村、大块村、育新村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16</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官坡镇</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红色兰草</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兰草村、兰东村、安坪村、兰西村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17</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双槐树乡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双槐树乡</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五里川镇古墓窑村、向阳社区、双槐树村、庆家沟村、石门村、西茄村、香山村、寺合院村、东川村、西川村、北川村、桃花村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18</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汤河乡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汤河温泉</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五里川镇温口村、五里川镇马耳岩村、厚地社区、汤河村、梧鸣沟村、河口村、高沟口村、义节沟村、大坪村、杨家庄村、小沟河村、柴家沟村、魏王坪村、三坪村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19</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瓦窑沟乡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观沟村</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上河村、里曼坪村、下河村、龙泉坪村、胡家坪村、高河村、观沟村、凤凰村、古寨村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20</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瓦窑沟乡</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瓦窑沟新区</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朱阳关镇漂池村、大坊社区、瓦窑沟村、耿家店村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21</w:t>
            </w:r>
          </w:p>
        </w:tc>
        <w:tc>
          <w:tcPr>
            <w:tcW w:w="1118"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东沙河以西</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百悦城市场单元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东沙河以西、审计局以东、靖华西路以北</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22</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东沙河以西</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黄村桥-新都汇市场单元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黄村桥以东、新都汇以西</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23</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东沙河以西</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苏地花园市场单元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卢园广场以东，东沙河以西，靖华东路以南、滨河西路以北</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24</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东沙河以西</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卢园广场-中医院市场单元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西关街以东、靖华西路以北、中兴路以西</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25</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东沙河以西</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黑马渠-洛神公园市场单元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西沙河以西-新都汇以东</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26</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东沙河以西</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金色华庭市场单元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西沙河以东-中兴街以西-靖华西路以南</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jc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27</w:t>
            </w:r>
          </w:p>
        </w:tc>
        <w:tc>
          <w:tcPr>
            <w:tcW w:w="1118"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东沙河以东</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商贸城-东沙河桥市场单元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东沙河以东-清惠路（含）以西</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28</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东沙河以东</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聚贤花园-碧桂园市场单元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滨河东路以北、g209国道（寨沟段）以南、东明路（含）以东、g228国道（卢敖北路）（不含）以西</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29</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东沙河以东</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东城小区市场单元</w:t>
            </w:r>
          </w:p>
        </w:tc>
        <w:tc>
          <w:tcPr>
            <w:tcW w:w="425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仿宋" w:hAnsi="仿宋" w:eastAsia="仿宋" w:cs="仿宋"/>
                <w:b w:val="0"/>
                <w:bCs/>
                <w:color w:val="auto"/>
                <w:kern w:val="2"/>
                <w:sz w:val="24"/>
                <w:szCs w:val="24"/>
                <w:highlight w:val="none"/>
                <w:vertAlign w:val="baseline"/>
                <w:lang w:val="en-US" w:eastAsia="zh-CN" w:bidi="ar-SA"/>
              </w:rPr>
              <w:t>清惠路（不含）以东、东明路（不含）以西、靖华东路以南、滨河东路以北</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30</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东沙河以东</w:t>
            </w:r>
          </w:p>
        </w:tc>
        <w:tc>
          <w:tcPr>
            <w:tcW w:w="1347"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药城市场单元</w:t>
            </w:r>
          </w:p>
        </w:tc>
        <w:tc>
          <w:tcPr>
            <w:tcW w:w="4253" w:type="dxa"/>
            <w:noWrap w:val="0"/>
            <w:vAlign w:val="center"/>
          </w:tcPr>
          <w:p>
            <w:pPr>
              <w:pStyle w:val="5"/>
              <w:jc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靖华东路（不含）以南、清惠路（不含）以北、230国道（虢太庙段）以南、东明路（不含）以西</w:t>
            </w:r>
          </w:p>
        </w:tc>
        <w:tc>
          <w:tcPr>
            <w:tcW w:w="1221" w:type="dxa"/>
            <w:noWrap w:val="0"/>
            <w:vAlign w:val="center"/>
          </w:tcPr>
          <w:p>
            <w:pPr>
              <w:pStyle w:val="5"/>
              <w:jc w:val="center"/>
              <w:rPr>
                <w:rFonts w:hint="eastAsia" w:ascii="仿宋" w:hAnsi="仿宋" w:eastAsia="仿宋" w:cs="仿宋"/>
                <w:b w:val="0"/>
                <w:bCs/>
                <w:color w:val="auto"/>
                <w:kern w:val="2"/>
                <w:sz w:val="24"/>
                <w:szCs w:val="24"/>
                <w:highlight w:val="none"/>
                <w:vertAlign w:val="baseline"/>
                <w:lang w:val="en-US" w:eastAsia="zh-CN" w:bidi="ar-SA"/>
              </w:rPr>
            </w:pPr>
            <w:r>
              <w:rPr>
                <w:rFonts w:hint="eastAsia" w:ascii="仿宋" w:hAnsi="仿宋" w:eastAsia="仿宋" w:cs="仿宋"/>
                <w:b w:val="0"/>
                <w:bCs/>
                <w:color w:val="auto"/>
                <w:sz w:val="24"/>
                <w:szCs w:val="24"/>
                <w:highlight w:val="none"/>
                <w:vertAlign w:val="baseline"/>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31</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东沙河以东</w:t>
            </w:r>
          </w:p>
        </w:tc>
        <w:tc>
          <w:tcPr>
            <w:tcW w:w="1347"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2"/>
                <w:szCs w:val="22"/>
                <w:highlight w:val="none"/>
                <w:vertAlign w:val="baseline"/>
                <w:lang w:val="en-US" w:eastAsia="zh-CN"/>
              </w:rPr>
              <w:t>香山庙-火炎村-东营村市场单元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滨河东路以北、219国道（卢敖北路）以东、东营村以西、香山庙以南</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32</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杜关</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杜荆河畔市场单元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荆彰村、民湾村、显众村、草店村、南盘村、北王村、北沟村、王家河村、窑峪村、庙上村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33</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杜关</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同德社区市场单元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马院村、杜关街、杜关老街</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34</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杜关</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十字路市场单元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龙王庙村、郭家村、庙底村、康家湾村、十字路村、郑家湾村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35</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官道口</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安居苑市场单元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寨上村、官道口村、官道口街、秋凉河村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36</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官道口</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豫溪大峡谷市场单元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鱼池村、磨上村、耿家庄、新坪村、车家岭、郭埝村、石嘴村、庄科村、三官庙村、金架沟村、大岭村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37</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范里</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苗村市场单元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苗村、骨垛村、东寨村、前窑村、张村、苗村、南苏村、关田桥头、大原村、阳坪村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38</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范里</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新庄市场单元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留村、涧底村、新庄村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39</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范里</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范里街市场单元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范里村、范里北街、范里东街、十字街、中原新区、范里西街、后峪村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40</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范里</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三门市场单元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阳坡根村、三门村、白玉沟村、何窑村、干沟村、小岭壕村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41</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文峪</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文博佳苑市场单元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南窑桥头、望家村、涧西村、石桥村、黑了宿村、范村、南窑村、文峪乡产业聚集区</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42</w:t>
            </w:r>
          </w:p>
        </w:tc>
        <w:tc>
          <w:tcPr>
            <w:tcW w:w="1118"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文峪</w:t>
            </w:r>
          </w:p>
        </w:tc>
        <w:tc>
          <w:tcPr>
            <w:tcW w:w="1347" w:type="dxa"/>
            <w:noWrap w:val="0"/>
            <w:vAlign w:val="center"/>
          </w:tcPr>
          <w:p>
            <w:pPr>
              <w:keepNext w:val="0"/>
              <w:keepLines w:val="0"/>
              <w:widowControl/>
              <w:suppressLineNumbers w:val="0"/>
              <w:jc w:val="center"/>
              <w:textAlignment w:val="center"/>
              <w:rPr>
                <w:rFonts w:hint="eastAsia" w:ascii="仿宋" w:hAnsi="仿宋" w:eastAsia="仿宋" w:cs="仿宋"/>
                <w:b w:val="0"/>
                <w:bCs/>
                <w:i w:val="0"/>
                <w:iCs w:val="0"/>
                <w:color w:val="auto"/>
                <w:kern w:val="2"/>
                <w:sz w:val="24"/>
                <w:szCs w:val="24"/>
                <w:highlight w:val="none"/>
                <w:u w:val="none"/>
                <w:lang w:val="en-US" w:eastAsia="zh-CN" w:bidi="ar-SA"/>
              </w:rPr>
            </w:pPr>
            <w:r>
              <w:rPr>
                <w:rFonts w:hint="eastAsia" w:ascii="仿宋" w:hAnsi="仿宋" w:eastAsia="仿宋" w:cs="仿宋"/>
                <w:b w:val="0"/>
                <w:bCs/>
                <w:i w:val="0"/>
                <w:iCs w:val="0"/>
                <w:color w:val="auto"/>
                <w:kern w:val="0"/>
                <w:sz w:val="24"/>
                <w:szCs w:val="24"/>
                <w:highlight w:val="none"/>
                <w:u w:val="none"/>
                <w:lang w:val="en-US" w:eastAsia="zh-CN" w:bidi="ar"/>
              </w:rPr>
              <w:t>文峪村市场单元</w:t>
            </w:r>
          </w:p>
        </w:tc>
        <w:tc>
          <w:tcPr>
            <w:tcW w:w="4253"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eastAsia"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文峪街、磨上村、大石河村、麻家湾村、窑子沟村、煤口村、香子坪村、松树嘴村、通河村、干沟村、南王村</w:t>
            </w:r>
          </w:p>
        </w:tc>
        <w:tc>
          <w:tcPr>
            <w:tcW w:w="1221" w:type="dxa"/>
            <w:noWrap w:val="0"/>
            <w:vAlign w:val="center"/>
          </w:tcPr>
          <w:p>
            <w:pPr>
              <w:pStyle w:val="5"/>
              <w:keepNext w:val="0"/>
              <w:keepLines w:val="0"/>
              <w:pageBreakBefore w:val="0"/>
              <w:kinsoku/>
              <w:wordWrap/>
              <w:overflowPunct/>
              <w:topLinePunct w:val="0"/>
              <w:autoSpaceDE/>
              <w:autoSpaceDN/>
              <w:bidi w:val="0"/>
              <w:adjustRightInd/>
              <w:snapToGrid/>
              <w:jc w:val="center"/>
              <w:textAlignment w:val="center"/>
              <w:rPr>
                <w:rFonts w:hint="default" w:ascii="仿宋" w:hAnsi="仿宋" w:eastAsia="仿宋" w:cs="仿宋"/>
                <w:b w:val="0"/>
                <w:bCs/>
                <w:color w:val="auto"/>
                <w:sz w:val="24"/>
                <w:szCs w:val="24"/>
                <w:highlight w:val="none"/>
                <w:vertAlign w:val="baseline"/>
                <w:lang w:val="en-US" w:eastAsia="zh-CN"/>
              </w:rPr>
            </w:pPr>
            <w:r>
              <w:rPr>
                <w:rFonts w:hint="eastAsia" w:ascii="仿宋" w:hAnsi="仿宋" w:eastAsia="仿宋" w:cs="仿宋"/>
                <w:b w:val="0"/>
                <w:bCs/>
                <w:color w:val="auto"/>
                <w:sz w:val="24"/>
                <w:szCs w:val="24"/>
                <w:highlight w:val="none"/>
                <w:vertAlign w:val="baseline"/>
                <w:lang w:val="en-US" w:eastAsia="zh-CN"/>
              </w:rPr>
              <w:t>31</w:t>
            </w:r>
          </w:p>
        </w:tc>
      </w:tr>
    </w:tbl>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jc w:val="both"/>
        <w:rPr>
          <w:rFonts w:hint="default" w:ascii="黑体" w:hAnsi="黑体" w:eastAsia="黑体" w:cs="仿宋"/>
          <w:color w:val="auto"/>
          <w:sz w:val="32"/>
          <w:szCs w:val="32"/>
          <w:shd w:val="clear" w:color="auto" w:fill="FFFFFF"/>
          <w:lang w:val="en-US" w:eastAsia="zh-CN"/>
        </w:rPr>
      </w:pPr>
      <w:r>
        <w:rPr>
          <w:rFonts w:hint="eastAsia" w:ascii="黑体" w:hAnsi="黑体" w:eastAsia="黑体" w:cs="仿宋"/>
          <w:color w:val="auto"/>
          <w:sz w:val="32"/>
          <w:szCs w:val="32"/>
          <w:shd w:val="clear" w:color="auto" w:fill="FFFFFF"/>
          <w:lang w:val="en-US" w:eastAsia="zh-CN"/>
        </w:rPr>
        <w:br w:type="page"/>
      </w:r>
      <w:r>
        <w:rPr>
          <w:rFonts w:hint="eastAsia" w:ascii="黑体" w:hAnsi="黑体" w:eastAsia="黑体" w:cs="仿宋"/>
          <w:color w:val="auto"/>
          <w:sz w:val="32"/>
          <w:szCs w:val="32"/>
          <w:shd w:val="clear" w:color="auto" w:fill="FFFFFF"/>
          <w:lang w:val="en-US" w:eastAsia="zh-CN"/>
        </w:rPr>
        <w:t>附件3</w:t>
      </w:r>
    </w:p>
    <w:p>
      <w:pPr>
        <w:ind w:firstLine="975"/>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卢氏县城区道路等级规划图</w:t>
      </w: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r>
        <w:rPr>
          <w:rFonts w:hint="eastAsia" w:ascii="方正小标宋简体" w:hAnsi="方正小标宋简体" w:eastAsia="方正小标宋简体" w:cs="方正小标宋简体"/>
          <w:color w:val="auto"/>
          <w:sz w:val="44"/>
          <w:szCs w:val="44"/>
          <w:highlight w:val="none"/>
          <w:u w:val="none"/>
          <w:lang w:val="en-US" w:eastAsia="zh-CN"/>
        </w:rPr>
        <w:drawing>
          <wp:anchor distT="0" distB="0" distL="114300" distR="114300" simplePos="0" relativeHeight="251659264" behindDoc="0" locked="0" layoutInCell="1" allowOverlap="1">
            <wp:simplePos x="0" y="0"/>
            <wp:positionH relativeFrom="column">
              <wp:posOffset>-1353185</wp:posOffset>
            </wp:positionH>
            <wp:positionV relativeFrom="paragraph">
              <wp:posOffset>95885</wp:posOffset>
            </wp:positionV>
            <wp:extent cx="7588885" cy="5358130"/>
            <wp:effectExtent l="0" t="0" r="12065" b="13970"/>
            <wp:wrapNone/>
            <wp:docPr id="2" name="图片 6" descr="75c910423df910604917c815a689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75c910423df910604917c815a689aab"/>
                    <pic:cNvPicPr>
                      <a:picLocks noChangeAspect="1"/>
                    </pic:cNvPicPr>
                  </pic:nvPicPr>
                  <pic:blipFill>
                    <a:blip r:embed="rId9"/>
                    <a:stretch>
                      <a:fillRect/>
                    </a:stretch>
                  </pic:blipFill>
                  <pic:spPr>
                    <a:xfrm>
                      <a:off x="0" y="0"/>
                      <a:ext cx="7588885" cy="5358130"/>
                    </a:xfrm>
                    <a:prstGeom prst="rect">
                      <a:avLst/>
                    </a:prstGeom>
                    <a:noFill/>
                    <a:ln>
                      <a:noFill/>
                    </a:ln>
                  </pic:spPr>
                </pic:pic>
              </a:graphicData>
            </a:graphic>
          </wp:anchor>
        </w:drawing>
      </w: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jc w:val="left"/>
        <w:rPr>
          <w:rFonts w:hint="eastAsia" w:ascii="黑体" w:hAnsi="黑体" w:eastAsia="黑体" w:cs="仿宋"/>
          <w:color w:val="auto"/>
          <w:sz w:val="32"/>
          <w:szCs w:val="32"/>
          <w:shd w:val="clear" w:color="auto" w:fill="FFFFFF"/>
          <w:lang w:val="en-US" w:eastAsia="zh-CN"/>
        </w:rPr>
      </w:pPr>
      <w:r>
        <w:rPr>
          <w:rFonts w:hint="eastAsia" w:ascii="黑体" w:hAnsi="黑体" w:eastAsia="黑体" w:cs="仿宋"/>
          <w:color w:val="auto"/>
          <w:sz w:val="32"/>
          <w:szCs w:val="32"/>
          <w:shd w:val="clear" w:color="auto" w:fill="FFFFFF"/>
          <w:lang w:val="en-US" w:eastAsia="zh-CN"/>
        </w:rPr>
        <w:br w:type="page"/>
      </w:r>
      <w:r>
        <w:rPr>
          <w:rFonts w:hint="eastAsia" w:ascii="黑体" w:hAnsi="黑体" w:eastAsia="黑体" w:cs="仿宋"/>
          <w:color w:val="auto"/>
          <w:sz w:val="32"/>
          <w:szCs w:val="32"/>
          <w:shd w:val="clear" w:color="auto" w:fill="FFFFFF"/>
          <w:lang w:val="en-US" w:eastAsia="zh-CN"/>
        </w:rPr>
        <w:t>附件4</w:t>
      </w:r>
    </w:p>
    <w:p>
      <w:pPr>
        <w:pStyle w:val="2"/>
        <w:numPr>
          <w:ilvl w:val="0"/>
          <w:numId w:val="0"/>
        </w:numPr>
        <w:spacing w:after="0" w:line="576" w:lineRule="exact"/>
        <w:jc w:val="center"/>
        <w:rPr>
          <w:rFonts w:hint="eastAsia" w:ascii="方正小标宋简体" w:hAnsi="仿宋" w:eastAsia="方正小标宋简体" w:cs="仿宋"/>
          <w:color w:val="auto"/>
          <w:kern w:val="0"/>
          <w:sz w:val="44"/>
          <w:szCs w:val="44"/>
          <w:shd w:val="clear" w:color="auto" w:fill="FFFFFF"/>
          <w:lang w:val="en-US" w:eastAsia="zh-CN" w:bidi="ar-SA"/>
        </w:rPr>
      </w:pPr>
      <w:r>
        <w:rPr>
          <w:rFonts w:hint="eastAsia" w:ascii="方正小标宋简体" w:hAnsi="仿宋" w:eastAsia="方正小标宋简体" w:cs="仿宋"/>
          <w:color w:val="auto"/>
          <w:kern w:val="0"/>
          <w:sz w:val="44"/>
          <w:szCs w:val="44"/>
          <w:shd w:val="clear" w:color="auto" w:fill="FFFFFF"/>
          <w:lang w:val="en-US" w:eastAsia="zh-CN" w:bidi="ar-SA"/>
        </w:rPr>
        <w:t>经营场所与烟草制品零售业务没有直接或间接互补营销关系商户名单</w:t>
      </w:r>
    </w:p>
    <w:p>
      <w:pPr>
        <w:pStyle w:val="2"/>
        <w:numPr>
          <w:ilvl w:val="0"/>
          <w:numId w:val="0"/>
        </w:numPr>
        <w:spacing w:after="0" w:line="576" w:lineRule="exact"/>
        <w:jc w:val="center"/>
        <w:rPr>
          <w:rFonts w:hint="eastAsia" w:ascii="方正小标宋简体" w:hAnsi="仿宋" w:eastAsia="方正小标宋简体" w:cs="仿宋"/>
          <w:color w:val="auto"/>
          <w:kern w:val="0"/>
          <w:sz w:val="44"/>
          <w:szCs w:val="44"/>
          <w:shd w:val="clear" w:color="auto" w:fill="FFFFFF"/>
          <w:lang w:val="en-US" w:eastAsia="zh-CN" w:bidi="ar-SA"/>
        </w:rPr>
      </w:pP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650"/>
        <w:gridCol w:w="2325"/>
        <w:gridCol w:w="303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2"/>
                <w:sz w:val="24"/>
                <w:szCs w:val="24"/>
                <w:u w:val="none"/>
                <w:lang w:val="en-US" w:eastAsia="zh-CN" w:bidi="ar-SA"/>
              </w:rPr>
              <w:t>序号</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许可证号</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企业（字号）名称</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经营地址</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u w:val="none"/>
                <w:lang w:val="en-US" w:eastAsia="zh-CN" w:bidi="ar-SA"/>
              </w:rPr>
            </w:pPr>
            <w:r>
              <w:rPr>
                <w:rFonts w:hint="eastAsia" w:ascii="仿宋" w:hAnsi="仿宋" w:eastAsia="仿宋" w:cs="仿宋"/>
                <w:b/>
                <w:bCs/>
                <w:i w:val="0"/>
                <w:iCs w:val="0"/>
                <w:color w:val="auto"/>
                <w:kern w:val="0"/>
                <w:sz w:val="24"/>
                <w:szCs w:val="24"/>
                <w:u w:val="none"/>
                <w:lang w:val="en-US" w:eastAsia="zh-CN" w:bidi="ar"/>
              </w:rPr>
              <w:t>持证人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411224100619</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卢氏县卢玉土特产商贸中心</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河南省三门峡市卢氏县城关镇靖华大道北侧商贸城对面1楼</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周晓鸽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2</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411224100997</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卢氏县怀纹鸿运日杂门市</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卢氏县东明镇政府对面</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李怀纹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3</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411224102908</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卢氏县城关张华土特产商行</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河南省三门峡市卢氏县城靖华大道商贸城对面</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李春英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4</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411224103218</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卢氏县任书峰综合门市</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东明镇东明村八组（烟站对面）</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任书峰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5</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411224103578</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卢氏县金玉良缘婚庆用品店</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河南省三门峡市卢氏县城关镇永济路与翰林路交叉口2号楼35号</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常伏牛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6</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411224103661</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卢氏县宗雯乳制品门市部</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河南省三门峡市卢氏县城关镇东花坛皇廷大酒店楼下65号</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张润生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7</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411224103794</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卢氏县城关镇新兴办公用品门市</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河南省三门峡市卢氏县城关镇伏牛路中医院东30米</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8</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411224102590</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卢氏县城关绿源菌业特产中心</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县城东环路南段</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权冬花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9</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411224103146</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卢氏县城关云科云科茂源土产购销部</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卢氏县靖华路中段凯达酒店楼下</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周云科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10</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411224103619</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卢氏县宗文乳制品门市部</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河南省三门峡市卢氏县城关镇南环路众生医药超市对面68号</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张润生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11</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411224103629</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卢氏县鲜果苑水果店</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河南省三门峡市卢氏县城关镇南大街东侧30号</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海吉朋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12</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411224103828</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卢氏县杨小丽文具批发部</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河南省三门峡市卢氏县城关镇南环路食品公司楼下门面68号</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杨小丽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13</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411224101084</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卢氏县姚亭酱菜副食批零门市</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卢氏县城新建路南段</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姚亭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14</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411224102687</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卢氏县城关建民家电门市</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河南省三门峡市卢氏县县城西大街中段</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石建民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15</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411224103708</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卢氏县城关镇阿包炒货店</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河南省三门峡市卢氏县城关镇南关口红绿灯东南侧</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徐会芹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16</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411224103448</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卢氏县吉娟水果店</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河南省三门峡市卢氏县城关镇高村靖华路与柳林路向南10米</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海吉娟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17</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411224101336</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卢氏县官道口街老武日杂商行</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河南省三门峡市卢氏县官道口镇官道口街209国道路边</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武许琴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18</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411224100150</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卢氏杜关冬霜百货用品门市部</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河南省三门峡市卢氏县杜关镇卫生院斜对面东20号</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来冬霜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19</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411224100271</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卢氏县杜关素芳综合门市</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河南省三门峡市卢氏县杜关街西卫生院东</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骆素芳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20</w:t>
            </w:r>
          </w:p>
        </w:tc>
        <w:tc>
          <w:tcPr>
            <w:tcW w:w="16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411224103396</w:t>
            </w:r>
          </w:p>
        </w:tc>
        <w:tc>
          <w:tcPr>
            <w:tcW w:w="232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卢氏杜关三记农机配件门市</w:t>
            </w:r>
          </w:p>
        </w:tc>
        <w:tc>
          <w:tcPr>
            <w:tcW w:w="303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杜关镇马院街</w:t>
            </w:r>
          </w:p>
        </w:tc>
        <w:tc>
          <w:tcPr>
            <w:tcW w:w="10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樊三记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bottom"/>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21</w:t>
            </w:r>
          </w:p>
        </w:tc>
        <w:tc>
          <w:tcPr>
            <w:tcW w:w="1650"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411224101797</w:t>
            </w:r>
          </w:p>
        </w:tc>
        <w:tc>
          <w:tcPr>
            <w:tcW w:w="2325"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卢氏县徐家湾白石邦粮油综合门市</w:t>
            </w:r>
          </w:p>
        </w:tc>
        <w:tc>
          <w:tcPr>
            <w:tcW w:w="3030"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河南省三门峡市卢氏县徐家湾乡徐家街老粮店3号</w:t>
            </w:r>
          </w:p>
        </w:tc>
        <w:tc>
          <w:tcPr>
            <w:tcW w:w="1062"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白实邦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noWrap w:val="0"/>
            <w:vAlign w:val="center"/>
          </w:tcPr>
          <w:p>
            <w:pPr>
              <w:keepNext w:val="0"/>
              <w:keepLines w:val="0"/>
              <w:widowControl/>
              <w:suppressLineNumbers w:val="0"/>
              <w:jc w:val="center"/>
              <w:textAlignment w:val="bottom"/>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22</w:t>
            </w:r>
          </w:p>
        </w:tc>
        <w:tc>
          <w:tcPr>
            <w:tcW w:w="1650"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411224103740</w:t>
            </w:r>
          </w:p>
        </w:tc>
        <w:tc>
          <w:tcPr>
            <w:tcW w:w="2325"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卢氏县宋氏爱好文具店</w:t>
            </w:r>
          </w:p>
        </w:tc>
        <w:tc>
          <w:tcPr>
            <w:tcW w:w="3030"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河南省三门峡市卢氏县朱阳关镇朱阳关街西16号</w:t>
            </w:r>
          </w:p>
        </w:tc>
        <w:tc>
          <w:tcPr>
            <w:tcW w:w="1062" w:type="dxa"/>
            <w:noWrap w:val="0"/>
            <w:vAlign w:val="center"/>
          </w:tcPr>
          <w:p>
            <w:pPr>
              <w:keepNext w:val="0"/>
              <w:keepLines w:val="0"/>
              <w:widowControl/>
              <w:suppressLineNumbers w:val="0"/>
              <w:jc w:val="center"/>
              <w:textAlignment w:val="bottom"/>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宋玉洲</w:t>
            </w:r>
          </w:p>
        </w:tc>
      </w:tr>
    </w:tbl>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ind w:firstLine="975"/>
        <w:rPr>
          <w:rFonts w:hint="eastAsia" w:ascii="仿宋" w:hAnsi="仿宋" w:eastAsia="仿宋" w:cs="Times New Roman"/>
          <w:color w:val="auto"/>
          <w:sz w:val="32"/>
          <w:szCs w:val="32"/>
        </w:rPr>
      </w:pPr>
    </w:p>
    <w:p>
      <w:pPr>
        <w:pStyle w:val="2"/>
        <w:rPr>
          <w:rFonts w:hint="eastAsia" w:ascii="仿宋_GB2312" w:hAnsi="仿宋" w:eastAsia="仿宋_GB2312" w:cs="仿宋"/>
          <w:color w:val="auto"/>
          <w:sz w:val="32"/>
          <w:szCs w:val="32"/>
          <w:lang w:val="en-US" w:eastAsia="zh-CN"/>
        </w:rPr>
      </w:pPr>
    </w:p>
    <w:p>
      <w:pPr>
        <w:rPr>
          <w:color w:val="auto"/>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A7455"/>
    <w:multiLevelType w:val="singleLevel"/>
    <w:tmpl w:val="F1EA7455"/>
    <w:lvl w:ilvl="0" w:tentative="0">
      <w:start w:val="2"/>
      <w:numFmt w:val="decimal"/>
      <w:lvlText w:val="%1."/>
      <w:lvlJc w:val="left"/>
      <w:pPr>
        <w:tabs>
          <w:tab w:val="left" w:pos="312"/>
        </w:tabs>
        <w:ind w:left="1578"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ZDE2NzE5ZjgxNDkyOGYzMzQ2YjNhNTUwZDM3MjIifQ=="/>
  </w:docVars>
  <w:rsids>
    <w:rsidRoot w:val="6CCB6647"/>
    <w:rsid w:val="6CCB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annotation text"/>
    <w:basedOn w:val="1"/>
    <w:unhideWhenUsed/>
    <w:qFormat/>
    <w:uiPriority w:val="99"/>
    <w:pPr>
      <w:jc w:val="left"/>
    </w:pPr>
  </w:style>
  <w:style w:type="paragraph" w:styleId="4">
    <w:name w:val="Normal (Web)"/>
    <w:basedOn w:val="1"/>
    <w:qFormat/>
    <w:uiPriority w:val="0"/>
    <w:pPr>
      <w:spacing w:before="100" w:beforeAutospacing="1" w:after="100" w:afterAutospacing="1"/>
      <w:jc w:val="left"/>
    </w:pPr>
    <w:rPr>
      <w:rFonts w:cs="Times New Roman"/>
      <w:kern w:val="0"/>
      <w:sz w:val="24"/>
      <w:szCs w:val="24"/>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2024-02-04T03:41:00Z</dcterms:created>
  <dc:creator>肖冰</dc:creator>
  <cp:lastModifiedBy>肖冰</cp:lastModifiedBy>
  <dcterms:modified xsi:type="dcterms:W3CDTF">2024-02-04T03:41:36Z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26B66C532D644422945C654E2401260F_11</vt:lpwstr>
  </property>
</Properties>
</file>